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F2" w:rsidRDefault="00B45CF2" w:rsidP="00B45CF2">
      <w:pPr>
        <w:spacing w:after="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45CF2" w:rsidRDefault="00B45CF2" w:rsidP="00B45CF2">
      <w:pPr>
        <w:spacing w:after="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45CF2" w:rsidRDefault="00B45CF2" w:rsidP="00B45CF2">
      <w:pPr>
        <w:spacing w:after="0"/>
        <w:jc w:val="right"/>
      </w:pPr>
      <w:r>
        <w:rPr>
          <w:noProof/>
          <w:lang w:val="en-US"/>
        </w:rPr>
        <w:drawing>
          <wp:anchor distT="0" distB="0" distL="114935" distR="114935" simplePos="0" relativeHeight="251660288" behindDoc="0" locked="0" layoutInCell="0" allowOverlap="1">
            <wp:simplePos x="0" y="0"/>
            <wp:positionH relativeFrom="column">
              <wp:posOffset>2745105</wp:posOffset>
            </wp:positionH>
            <wp:positionV relativeFrom="paragraph">
              <wp:posOffset>-474345</wp:posOffset>
            </wp:positionV>
            <wp:extent cx="410210" cy="590550"/>
            <wp:effectExtent l="1905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497" t="-311" r="-497" b="-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5CF2" w:rsidRDefault="00B45CF2" w:rsidP="00B45CF2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ЗМІЇВСЬКА МІСЬКА РАДА</w:t>
      </w:r>
    </w:p>
    <w:p w:rsidR="00B45CF2" w:rsidRDefault="00B45CF2" w:rsidP="00B45C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ЧУГУЇВСЬКОГО РАЙОНУ  ХАРКІВСЬКОЇ ОБЛАСТІ</w:t>
      </w:r>
    </w:p>
    <w:p w:rsidR="00563B47" w:rsidRDefault="00563B47" w:rsidP="00B45CF2">
      <w:pPr>
        <w:spacing w:after="0"/>
        <w:jc w:val="center"/>
      </w:pPr>
    </w:p>
    <w:p w:rsidR="00B45CF2" w:rsidRDefault="00563B47" w:rsidP="00B45CF2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  <w:lang w:val="en-US"/>
        </w:rPr>
        <w:t>L</w:t>
      </w:r>
      <w:r w:rsidR="00B45CF2">
        <w:rPr>
          <w:rFonts w:ascii="Times New Roman" w:hAnsi="Times New Roman"/>
          <w:b/>
          <w:sz w:val="28"/>
          <w:szCs w:val="28"/>
        </w:rPr>
        <w:t xml:space="preserve"> сесія VIII скликання</w:t>
      </w:r>
    </w:p>
    <w:p w:rsidR="00B45CF2" w:rsidRDefault="00B45CF2" w:rsidP="00B45C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5CF2" w:rsidRDefault="00B45CF2" w:rsidP="00B45CF2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B45CF2" w:rsidRDefault="00B45CF2" w:rsidP="00B45CF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343"/>
        <w:gridCol w:w="2392"/>
        <w:gridCol w:w="3809"/>
      </w:tblGrid>
      <w:tr w:rsidR="00B45CF2" w:rsidTr="00B86457">
        <w:tc>
          <w:tcPr>
            <w:tcW w:w="3343" w:type="dxa"/>
            <w:shd w:val="clear" w:color="auto" w:fill="auto"/>
          </w:tcPr>
          <w:p w:rsidR="00B45CF2" w:rsidRDefault="00563B47" w:rsidP="00B86457">
            <w:pPr>
              <w:spacing w:after="0"/>
              <w:ind w:left="-105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03 жовтня </w:t>
            </w:r>
            <w:r w:rsidR="00B45CF2">
              <w:rPr>
                <w:rFonts w:ascii="Times New Roman" w:hAnsi="Times New Roman"/>
                <w:b/>
                <w:bCs/>
                <w:sz w:val="24"/>
                <w:szCs w:val="24"/>
              </w:rPr>
              <w:t>2023 року</w:t>
            </w:r>
          </w:p>
        </w:tc>
        <w:tc>
          <w:tcPr>
            <w:tcW w:w="2392" w:type="dxa"/>
            <w:shd w:val="clear" w:color="auto" w:fill="auto"/>
          </w:tcPr>
          <w:p w:rsidR="00B45CF2" w:rsidRDefault="00563B47" w:rsidP="00B86457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</w:t>
            </w:r>
            <w:r w:rsidR="00B45CF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="00B45CF2">
              <w:rPr>
                <w:rFonts w:ascii="Times New Roman" w:hAnsi="Times New Roman"/>
                <w:b/>
                <w:sz w:val="24"/>
                <w:szCs w:val="24"/>
              </w:rPr>
              <w:t>м. Зміїв</w:t>
            </w:r>
          </w:p>
        </w:tc>
        <w:tc>
          <w:tcPr>
            <w:tcW w:w="3809" w:type="dxa"/>
            <w:shd w:val="clear" w:color="auto" w:fill="auto"/>
          </w:tcPr>
          <w:p w:rsidR="00B45CF2" w:rsidRDefault="00B45CF2" w:rsidP="00B86457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563B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3092-</w:t>
            </w:r>
            <w:r w:rsidR="00563B4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-VIII</w:t>
            </w:r>
          </w:p>
        </w:tc>
      </w:tr>
    </w:tbl>
    <w:p w:rsidR="00287658" w:rsidRDefault="00287658">
      <w:pPr>
        <w:shd w:val="clear" w:color="auto" w:fill="FFFFFF"/>
        <w:tabs>
          <w:tab w:val="left" w:pos="0"/>
        </w:tabs>
        <w:spacing w:after="0" w:line="200" w:lineRule="atLeast"/>
        <w:ind w:right="3273"/>
        <w:jc w:val="both"/>
        <w:rPr>
          <w:rFonts w:ascii="Times New Roman" w:eastAsia="Times New Roman" w:hAnsi="Times New Roman" w:cs="Times New Roman"/>
          <w:iCs/>
          <w:color w:val="000000"/>
          <w:spacing w:val="4"/>
          <w:shd w:val="clear" w:color="auto" w:fill="FFFFFF"/>
          <w:lang w:eastAsia="ar-SA"/>
        </w:rPr>
      </w:pPr>
    </w:p>
    <w:p w:rsidR="00563B47" w:rsidRDefault="00563B47">
      <w:pPr>
        <w:shd w:val="clear" w:color="auto" w:fill="FFFFFF"/>
        <w:tabs>
          <w:tab w:val="left" w:pos="0"/>
        </w:tabs>
        <w:spacing w:after="0" w:line="200" w:lineRule="atLeast"/>
        <w:ind w:right="3273"/>
        <w:jc w:val="both"/>
        <w:rPr>
          <w:rFonts w:ascii="Times New Roman" w:eastAsia="Times New Roman" w:hAnsi="Times New Roman" w:cs="Times New Roman"/>
          <w:iCs/>
          <w:color w:val="000000"/>
          <w:spacing w:val="4"/>
          <w:shd w:val="clear" w:color="auto" w:fill="FFFFFF"/>
          <w:lang w:eastAsia="ar-SA"/>
        </w:rPr>
      </w:pPr>
    </w:p>
    <w:p w:rsidR="00287658" w:rsidRDefault="00D26C71">
      <w:pPr>
        <w:shd w:val="clear" w:color="auto" w:fill="FFFFFF"/>
        <w:tabs>
          <w:tab w:val="left" w:pos="0"/>
        </w:tabs>
        <w:spacing w:after="0" w:line="200" w:lineRule="atLeast"/>
        <w:ind w:right="4535"/>
        <w:jc w:val="both"/>
      </w:pPr>
      <w:r>
        <w:rPr>
          <w:rFonts w:ascii="Times New Roman" w:eastAsia="Times New Roman" w:hAnsi="Times New Roman" w:cs="Times New Roman"/>
          <w:b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>Про встановлення розміру кошторисної заробітної плати на 202</w:t>
      </w:r>
      <w:r w:rsidR="00B45CF2">
        <w:rPr>
          <w:rFonts w:ascii="Times New Roman" w:eastAsia="Times New Roman" w:hAnsi="Times New Roman" w:cs="Times New Roman"/>
          <w:b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>3</w:t>
      </w:r>
      <w:r>
        <w:rPr>
          <w:rFonts w:ascii="Times New Roman" w:eastAsia="Times New Roman" w:hAnsi="Times New Roman" w:cs="Times New Roman"/>
          <w:b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рік при визначенні вартості робіт по будівництву, реконструкції та капітальному ремонту об'єктів, що проводяться за рахунок коштів </w:t>
      </w:r>
      <w:r w:rsidR="00B45CF2">
        <w:rPr>
          <w:rFonts w:ascii="Times New Roman" w:eastAsia="Times New Roman" w:hAnsi="Times New Roman" w:cs="Times New Roman"/>
          <w:b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>місцевого</w:t>
      </w:r>
      <w:r>
        <w:rPr>
          <w:rFonts w:ascii="Times New Roman" w:eastAsia="Times New Roman" w:hAnsi="Times New Roman" w:cs="Times New Roman"/>
          <w:b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бюджету</w:t>
      </w:r>
    </w:p>
    <w:p w:rsidR="00287658" w:rsidRDefault="00D26C71">
      <w:pPr>
        <w:shd w:val="clear" w:color="auto" w:fill="FFFFFF"/>
        <w:tabs>
          <w:tab w:val="left" w:pos="0"/>
        </w:tabs>
        <w:spacing w:after="0" w:line="200" w:lineRule="atLeast"/>
        <w:ind w:right="45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</w:t>
      </w:r>
    </w:p>
    <w:p w:rsidR="00FC504C" w:rsidRDefault="00FC504C">
      <w:pPr>
        <w:shd w:val="clear" w:color="auto" w:fill="FFFFFF"/>
        <w:tabs>
          <w:tab w:val="left" w:pos="0"/>
        </w:tabs>
        <w:spacing w:after="0" w:line="200" w:lineRule="atLeast"/>
        <w:ind w:right="45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highlight w:val="white"/>
          <w:lang w:eastAsia="ar-SA"/>
        </w:rPr>
      </w:pPr>
    </w:p>
    <w:p w:rsidR="00FC504C" w:rsidRPr="00FC504C" w:rsidRDefault="00D26C71" w:rsidP="00FC504C">
      <w:pPr>
        <w:pStyle w:val="a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5CF2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ab/>
      </w:r>
      <w:r w:rsidR="00B45CF2" w:rsidRPr="00B45CF2">
        <w:rPr>
          <w:rFonts w:ascii="Times New Roman" w:hAnsi="Times New Roman" w:cs="Times New Roman"/>
          <w:sz w:val="24"/>
          <w:szCs w:val="24"/>
        </w:rPr>
        <w:t xml:space="preserve">Відповідно до статті 26 Закону України «Про місцеве самоврядування в Україні»,  наказу Міністерства регіонального розвитку, будівництва та житлово-комунального господарства України «Про затвердження Порядку розрахунку розміру кошторисної заробітної плати, який враховується при визначенні вартості будівництва об’єктів» від 20.10.2016 року №281 (із змінами), </w:t>
      </w:r>
      <w:r w:rsidR="00B45CF2" w:rsidRPr="00B45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враховуючи </w:t>
      </w:r>
      <w:r w:rsidR="008707A4">
        <w:rPr>
          <w:rFonts w:ascii="Times New Roman" w:hAnsi="Times New Roman" w:cs="Times New Roman"/>
          <w:sz w:val="24"/>
          <w:szCs w:val="24"/>
        </w:rPr>
        <w:t>лист</w:t>
      </w:r>
      <w:r w:rsidR="008707A4" w:rsidRPr="00B45CF2">
        <w:rPr>
          <w:rFonts w:ascii="Times New Roman" w:hAnsi="Times New Roman" w:cs="Times New Roman"/>
          <w:sz w:val="24"/>
          <w:szCs w:val="24"/>
        </w:rPr>
        <w:t xml:space="preserve"> Міністерства економіки України від 23.11.2022 № 3014-05/76265-03</w:t>
      </w:r>
      <w:r w:rsidR="00B45CF2" w:rsidRPr="00B45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5CF2" w:rsidRPr="00B45CF2">
        <w:rPr>
          <w:rFonts w:ascii="Times New Roman" w:hAnsi="Times New Roman" w:cs="Times New Roman"/>
          <w:sz w:val="24"/>
          <w:szCs w:val="24"/>
        </w:rPr>
        <w:t xml:space="preserve">та з метою ефективного використання фінансових ресурсів </w:t>
      </w:r>
      <w:r w:rsidR="00FC504C" w:rsidRPr="00FC504C">
        <w:rPr>
          <w:rFonts w:ascii="Times New Roman" w:hAnsi="Times New Roman" w:cs="Times New Roman"/>
          <w:sz w:val="24"/>
          <w:szCs w:val="24"/>
        </w:rPr>
        <w:t>рішення постійної комісії міської ради з питань планування, фінансів, бюджету, соціально-економічного розвитку та регуляторної пол</w:t>
      </w:r>
      <w:r w:rsidR="00127B61">
        <w:rPr>
          <w:rFonts w:ascii="Times New Roman" w:hAnsi="Times New Roman" w:cs="Times New Roman"/>
          <w:sz w:val="24"/>
          <w:szCs w:val="24"/>
        </w:rPr>
        <w:t>ітики (витяг з протоколу № 55</w:t>
      </w:r>
      <w:r w:rsidR="00FC504C" w:rsidRPr="00FC504C">
        <w:rPr>
          <w:rFonts w:ascii="Times New Roman" w:hAnsi="Times New Roman" w:cs="Times New Roman"/>
          <w:sz w:val="24"/>
          <w:szCs w:val="24"/>
        </w:rPr>
        <w:t xml:space="preserve"> засідання п</w:t>
      </w:r>
      <w:r w:rsidR="00127B61">
        <w:rPr>
          <w:rFonts w:ascii="Times New Roman" w:hAnsi="Times New Roman" w:cs="Times New Roman"/>
          <w:sz w:val="24"/>
          <w:szCs w:val="24"/>
        </w:rPr>
        <w:t xml:space="preserve">остійної комісії від  02 жовтня </w:t>
      </w:r>
      <w:bookmarkStart w:id="0" w:name="_GoBack"/>
      <w:bookmarkEnd w:id="0"/>
      <w:r w:rsidR="00FC504C" w:rsidRPr="00FC504C">
        <w:rPr>
          <w:rFonts w:ascii="Times New Roman" w:hAnsi="Times New Roman" w:cs="Times New Roman"/>
          <w:sz w:val="24"/>
          <w:szCs w:val="24"/>
        </w:rPr>
        <w:t xml:space="preserve">2023 року),   </w:t>
      </w:r>
      <w:proofErr w:type="spellStart"/>
      <w:r w:rsidR="00FC504C" w:rsidRPr="00FC504C">
        <w:rPr>
          <w:rFonts w:ascii="Times New Roman" w:hAnsi="Times New Roman" w:cs="Times New Roman"/>
          <w:sz w:val="24"/>
          <w:szCs w:val="24"/>
        </w:rPr>
        <w:t>Зміївська</w:t>
      </w:r>
      <w:proofErr w:type="spellEnd"/>
      <w:r w:rsidR="00FC504C" w:rsidRPr="00FC504C">
        <w:rPr>
          <w:rFonts w:ascii="Times New Roman" w:hAnsi="Times New Roman" w:cs="Times New Roman"/>
          <w:sz w:val="24"/>
          <w:szCs w:val="24"/>
        </w:rPr>
        <w:t xml:space="preserve"> міська рада           </w:t>
      </w:r>
    </w:p>
    <w:p w:rsidR="00287658" w:rsidRPr="00B45CF2" w:rsidRDefault="0028765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7658" w:rsidRDefault="00287658">
      <w:pPr>
        <w:spacing w:after="0"/>
        <w:ind w:left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87658" w:rsidRDefault="00D26C71" w:rsidP="00563B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287658" w:rsidRDefault="00287658">
      <w:pPr>
        <w:shd w:val="clear" w:color="auto" w:fill="FFFFFF"/>
        <w:tabs>
          <w:tab w:val="left" w:pos="0"/>
        </w:tabs>
        <w:spacing w:after="0" w:line="200" w:lineRule="atLeast"/>
        <w:ind w:right="45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</w:pPr>
    </w:p>
    <w:p w:rsidR="00287658" w:rsidRDefault="00D26C71">
      <w:pPr>
        <w:shd w:val="clear" w:color="auto" w:fill="FFFFFF"/>
        <w:tabs>
          <w:tab w:val="left" w:pos="0"/>
        </w:tabs>
        <w:spacing w:after="0" w:line="200" w:lineRule="atLeast"/>
        <w:ind w:right="45"/>
        <w:jc w:val="both"/>
      </w:pPr>
      <w:r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ab/>
        <w:t>1. Встановити розмір кошторисної заробітної плати на 202</w:t>
      </w:r>
      <w:r w:rsidR="00B45CF2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>3</w:t>
      </w:r>
      <w:r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рік при визначенні вартості робіт будівництва, реконструкції та капітального ремонту об'єктів, що проводяться за рахунок коштів </w:t>
      </w:r>
      <w:r w:rsidR="00B45CF2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>місцевого</w:t>
      </w:r>
      <w:r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бюджету</w:t>
      </w:r>
      <w:r w:rsidRPr="00C1312E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, в розмірі </w:t>
      </w:r>
      <w:r w:rsidR="00C1312E" w:rsidRPr="00C1312E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12 558,80 </w:t>
      </w:r>
      <w:r w:rsidRPr="00C1312E">
        <w:rPr>
          <w:rFonts w:ascii="Times New Roman" w:hAnsi="Times New Roman" w:cs="Times New Roman"/>
          <w:sz w:val="24"/>
          <w:szCs w:val="24"/>
        </w:rPr>
        <w:t>грн</w:t>
      </w:r>
      <w:r w:rsidRPr="00C1312E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>., розрахунок у додатку.</w:t>
      </w:r>
    </w:p>
    <w:p w:rsidR="00287658" w:rsidRPr="00B45CF2" w:rsidRDefault="00D26C71">
      <w:pPr>
        <w:shd w:val="clear" w:color="auto" w:fill="FFFFFF"/>
        <w:tabs>
          <w:tab w:val="left" w:pos="0"/>
        </w:tabs>
        <w:spacing w:after="0" w:line="200" w:lineRule="atLeast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ab/>
      </w:r>
      <w:r w:rsidRPr="00B45CF2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2. </w:t>
      </w:r>
      <w:r w:rsidR="00B45CF2" w:rsidRPr="00B45CF2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(Віталій КУЛІШ).</w:t>
      </w:r>
    </w:p>
    <w:p w:rsidR="00287658" w:rsidRDefault="00287658">
      <w:pPr>
        <w:shd w:val="clear" w:color="auto" w:fill="FFFFFF"/>
        <w:tabs>
          <w:tab w:val="left" w:pos="0"/>
        </w:tabs>
        <w:spacing w:after="0" w:line="200" w:lineRule="atLeast"/>
        <w:ind w:right="45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</w:pPr>
    </w:p>
    <w:p w:rsidR="00287658" w:rsidRDefault="00287658">
      <w:pPr>
        <w:shd w:val="clear" w:color="auto" w:fill="FFFFFF"/>
        <w:tabs>
          <w:tab w:val="left" w:pos="0"/>
        </w:tabs>
        <w:spacing w:after="0" w:line="200" w:lineRule="atLeast"/>
        <w:ind w:right="45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</w:pPr>
    </w:p>
    <w:p w:rsidR="00287658" w:rsidRDefault="00287658">
      <w:pPr>
        <w:shd w:val="clear" w:color="auto" w:fill="FFFFFF"/>
        <w:tabs>
          <w:tab w:val="left" w:pos="0"/>
        </w:tabs>
        <w:spacing w:after="0" w:line="200" w:lineRule="atLeast"/>
        <w:ind w:right="45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</w:pPr>
    </w:p>
    <w:p w:rsidR="00B45CF2" w:rsidRDefault="00B45CF2">
      <w:pPr>
        <w:shd w:val="clear" w:color="auto" w:fill="FFFFFF"/>
        <w:tabs>
          <w:tab w:val="left" w:pos="0"/>
        </w:tabs>
        <w:spacing w:after="0" w:line="200" w:lineRule="atLeast"/>
        <w:ind w:right="45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</w:pPr>
    </w:p>
    <w:p w:rsidR="00B45CF2" w:rsidRPr="00B45CF2" w:rsidRDefault="00B45CF2" w:rsidP="00B45CF2">
      <w:pPr>
        <w:tabs>
          <w:tab w:val="left" w:pos="6804"/>
        </w:tabs>
        <w:rPr>
          <w:rFonts w:ascii="Times New Roman" w:hAnsi="Times New Roman" w:cs="Times New Roman"/>
        </w:rPr>
      </w:pPr>
      <w:r w:rsidRPr="00B45CF2">
        <w:rPr>
          <w:rFonts w:ascii="Times New Roman" w:hAnsi="Times New Roman" w:cs="Times New Roman"/>
          <w:b/>
          <w:bCs/>
          <w:sz w:val="24"/>
          <w:szCs w:val="24"/>
        </w:rPr>
        <w:t>Міський голова</w:t>
      </w:r>
      <w:r w:rsidRPr="00B45CF2">
        <w:rPr>
          <w:rFonts w:ascii="Times New Roman" w:hAnsi="Times New Roman" w:cs="Times New Roman"/>
          <w:b/>
          <w:bCs/>
          <w:sz w:val="24"/>
          <w:szCs w:val="24"/>
        </w:rPr>
        <w:tab/>
        <w:t>Павло ГОЛОДНІКОВ</w:t>
      </w:r>
    </w:p>
    <w:p w:rsidR="00287658" w:rsidRDefault="00287658">
      <w:pPr>
        <w:shd w:val="clear" w:color="auto" w:fill="FFFFFF"/>
        <w:tabs>
          <w:tab w:val="left" w:pos="0"/>
        </w:tabs>
        <w:spacing w:after="0" w:line="200" w:lineRule="atLeast"/>
        <w:ind w:right="45" w:firstLine="709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</w:pPr>
    </w:p>
    <w:p w:rsidR="00287658" w:rsidRDefault="00287658">
      <w:pPr>
        <w:shd w:val="clear" w:color="auto" w:fill="FFFFFF"/>
        <w:tabs>
          <w:tab w:val="left" w:pos="0"/>
        </w:tabs>
        <w:spacing w:line="200" w:lineRule="atLeast"/>
        <w:ind w:right="45"/>
        <w:jc w:val="both"/>
        <w:rPr>
          <w:rFonts w:eastAsia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</w:pPr>
    </w:p>
    <w:p w:rsidR="00287658" w:rsidRDefault="00287658">
      <w:pPr>
        <w:shd w:val="clear" w:color="auto" w:fill="FFFFFF"/>
        <w:tabs>
          <w:tab w:val="left" w:pos="0"/>
        </w:tabs>
        <w:spacing w:line="200" w:lineRule="atLeast"/>
        <w:ind w:right="45"/>
        <w:jc w:val="both"/>
        <w:rPr>
          <w:rFonts w:eastAsia="Times New Roman" w:cs="Times New Roman"/>
          <w:iCs/>
          <w:color w:val="000000"/>
          <w:spacing w:val="4"/>
          <w:shd w:val="clear" w:color="auto" w:fill="FFFFFF"/>
          <w:lang w:eastAsia="ar-SA"/>
        </w:rPr>
      </w:pPr>
    </w:p>
    <w:p w:rsidR="00287658" w:rsidRDefault="00287658">
      <w:pPr>
        <w:shd w:val="clear" w:color="auto" w:fill="FFFFFF"/>
        <w:tabs>
          <w:tab w:val="left" w:pos="0"/>
        </w:tabs>
        <w:spacing w:line="200" w:lineRule="atLeast"/>
        <w:ind w:right="45"/>
        <w:jc w:val="both"/>
        <w:rPr>
          <w:rFonts w:eastAsia="Times New Roman" w:cs="Times New Roman"/>
          <w:iCs/>
          <w:color w:val="000000"/>
          <w:spacing w:val="4"/>
          <w:shd w:val="clear" w:color="auto" w:fill="FFFFFF"/>
          <w:lang w:eastAsia="ar-SA"/>
        </w:rPr>
      </w:pPr>
    </w:p>
    <w:p w:rsidR="00287658" w:rsidRDefault="0028765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658" w:rsidRDefault="0028765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658" w:rsidRDefault="0028765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7A4" w:rsidRDefault="008707A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658" w:rsidRDefault="0028765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68" w:type="dxa"/>
        <w:tblInd w:w="5070" w:type="dxa"/>
        <w:tblLook w:val="04A0" w:firstRow="1" w:lastRow="0" w:firstColumn="1" w:lastColumn="0" w:noHBand="0" w:noVBand="1"/>
      </w:tblPr>
      <w:tblGrid>
        <w:gridCol w:w="4677"/>
        <w:gridCol w:w="791"/>
      </w:tblGrid>
      <w:tr w:rsidR="00B45CF2" w:rsidRPr="00B45CF2" w:rsidTr="00FC504C">
        <w:trPr>
          <w:trHeight w:val="255"/>
        </w:trPr>
        <w:tc>
          <w:tcPr>
            <w:tcW w:w="5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CF2" w:rsidRPr="00B45CF2" w:rsidRDefault="00FC504C" w:rsidP="00B45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Додаток </w:t>
            </w:r>
            <w:r w:rsidR="00B45CF2" w:rsidRPr="00B4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B45CF2" w:rsidRPr="00B45CF2" w:rsidTr="00FC504C">
        <w:trPr>
          <w:trHeight w:val="342"/>
        </w:trPr>
        <w:tc>
          <w:tcPr>
            <w:tcW w:w="5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CF2" w:rsidRPr="00B45CF2" w:rsidRDefault="00B45CF2" w:rsidP="00B45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 рішення міської ради       </w:t>
            </w:r>
          </w:p>
        </w:tc>
      </w:tr>
      <w:tr w:rsidR="00B45CF2" w:rsidRPr="00B45CF2" w:rsidTr="00FC504C">
        <w:trPr>
          <w:trHeight w:val="342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B45CF2" w:rsidRPr="00B45CF2" w:rsidRDefault="00FC504C" w:rsidP="00B45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</w:t>
            </w:r>
            <w:r w:rsidR="00563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 </w:t>
            </w:r>
            <w:r w:rsidR="00563B47" w:rsidRPr="00FC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03 </w:t>
            </w:r>
            <w:r w:rsidR="00B45CF2" w:rsidRPr="00B4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жовтня 2023 року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3092-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</w:t>
            </w:r>
            <w:r w:rsidR="00B45CF2" w:rsidRPr="00B4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-VIII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CF2" w:rsidRPr="00B45CF2" w:rsidRDefault="00B45CF2" w:rsidP="00B45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45CF2" w:rsidRPr="00B45CF2" w:rsidTr="00FC504C">
        <w:trPr>
          <w:trHeight w:val="597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B45CF2" w:rsidRPr="00B45CF2" w:rsidRDefault="00563B47" w:rsidP="00B45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L </w:t>
            </w:r>
            <w:r w:rsidR="00B45CF2" w:rsidRPr="00B4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сесія VІІІ скликання)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CF2" w:rsidRPr="00B45CF2" w:rsidRDefault="00B45CF2" w:rsidP="00B45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287658" w:rsidRDefault="00287658" w:rsidP="00B45CF2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7658" w:rsidRDefault="0028765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658" w:rsidRDefault="0028765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658" w:rsidRDefault="00D26C7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Розрахунок</w:t>
      </w:r>
    </w:p>
    <w:p w:rsidR="00287658" w:rsidRDefault="00D26C71">
      <w:pPr>
        <w:pStyle w:val="a8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кошторисної заробітної плати на 202</w:t>
      </w:r>
      <w:r w:rsidR="00B45CF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рік при визначенні вартості робіт щодо об’єктів</w:t>
      </w:r>
    </w:p>
    <w:p w:rsidR="00287658" w:rsidRDefault="00D26C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будівництва, реконструкції, капітального та поточного ремонтів, які здійснюються за рахунок коштів </w:t>
      </w:r>
      <w:r w:rsidR="00B45CF2">
        <w:rPr>
          <w:rFonts w:ascii="Times New Roman" w:hAnsi="Times New Roman" w:cs="Times New Roman"/>
          <w:b/>
          <w:sz w:val="24"/>
          <w:szCs w:val="24"/>
        </w:rPr>
        <w:t>місцевого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бюджету</w:t>
      </w:r>
    </w:p>
    <w:p w:rsidR="00287658" w:rsidRDefault="0028765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287658" w:rsidRDefault="00287658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B45CF2" w:rsidRDefault="00B45CF2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5CF2" w:rsidRDefault="002F1223" w:rsidP="00B45CF2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Відповідно до пункту 4 Наказу Міністерства регіонального розвитку, будівництва та житлово-комунального господарства України від 20.10.2016 р. № 281 «Про затвердження Порядку розрахунку розміру кошторисної заробітної плати, який враховується при визначенні вартості будівництва об’єктів» розмір кошторисної заробітної плати, який враховується при складанні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інвесторської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кошторисної документації (на стадії розроблення проектної документації), визначається замовником (інвестором) у складі вихідних даних на проектування, не нижче ніж середньомісячна заробітна плата у будівництві (у розрахунку на одного штатного працівника) за попередній звітний рік, що оприлюднюється центральним органом виконавчої влади в галузі статистики, збільшена на прогнозний індекс споживчих цін на поточний рік (у середньому до попереднього року).</w:t>
      </w:r>
    </w:p>
    <w:p w:rsidR="00C1312E" w:rsidRDefault="00C1312E" w:rsidP="00C1312E">
      <w:pPr>
        <w:pStyle w:val="a8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Враховуючи вищевикладене та керуючись даними Державної служби статистики України щодо середньомісячної заробітної плати за видом економічної діяльності «Будівництво» за попередній звітний рік та прогнозного індексу споживчих цін на 2023 рік, в</w:t>
      </w:r>
      <w:r w:rsidRPr="00B45CF2">
        <w:rPr>
          <w:rFonts w:ascii="Times New Roman" w:hAnsi="Times New Roman" w:cs="Times New Roman"/>
          <w:sz w:val="24"/>
          <w:szCs w:val="24"/>
        </w:rPr>
        <w:t>ідповідно до листа Міністерства економіки України від 23.11.2022 № 3014-05/76265-03</w:t>
      </w:r>
      <w:r>
        <w:rPr>
          <w:rFonts w:ascii="Times New Roman" w:hAnsi="Times New Roman" w:cs="Times New Roman"/>
          <w:sz w:val="24"/>
          <w:szCs w:val="24"/>
        </w:rPr>
        <w:t xml:space="preserve">, розмір кошторисної заробітної плати при визначенні вартості будівництва на стадії розроблення проектної документації має бути встановлена не нижче, ніж </w:t>
      </w:r>
      <w:r>
        <w:rPr>
          <w:rFonts w:ascii="Times New Roman" w:hAnsi="Times New Roman" w:cs="Times New Roman"/>
          <w:b/>
          <w:sz w:val="24"/>
          <w:szCs w:val="24"/>
        </w:rPr>
        <w:t>12 558,80</w:t>
      </w:r>
      <w:r>
        <w:rPr>
          <w:rFonts w:ascii="Times New Roman" w:hAnsi="Times New Roman" w:cs="Times New Roman"/>
          <w:sz w:val="24"/>
          <w:szCs w:val="24"/>
        </w:rPr>
        <w:t xml:space="preserve"> грн., а саме:</w:t>
      </w:r>
    </w:p>
    <w:p w:rsidR="00C1312E" w:rsidRDefault="00C1312E" w:rsidP="00C1312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2E" w:rsidRDefault="00C1312E" w:rsidP="00C1312E">
      <w:pPr>
        <w:pStyle w:val="a8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9781,0 грн х 1,284 = 12 558,80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грн., </w:t>
      </w:r>
      <w:r w:rsidR="008707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</w:t>
      </w:r>
    </w:p>
    <w:p w:rsidR="00C1312E" w:rsidRDefault="00C1312E" w:rsidP="00C1312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2E" w:rsidRDefault="00C1312E" w:rsidP="00C1312E">
      <w:pPr>
        <w:pStyle w:val="a8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9781,0 грн. – за даними Державної служби статистики України середньомісячна заробітна плата за видом економічної діяльності «Будівництво» за попередній звітний рік;  </w:t>
      </w:r>
    </w:p>
    <w:p w:rsidR="00C1312E" w:rsidRDefault="00C1312E" w:rsidP="00C1312E">
      <w:pPr>
        <w:pStyle w:val="a8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1,284% – прогнозний індекс споживчих цін на 2023 рік.</w:t>
      </w:r>
    </w:p>
    <w:p w:rsidR="00C1312E" w:rsidRDefault="00C1312E" w:rsidP="00B45CF2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2E" w:rsidRDefault="00C1312E" w:rsidP="00B45CF2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12E" w:rsidRPr="00B45CF2" w:rsidRDefault="00C1312E" w:rsidP="00B45CF2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58" w:rsidRDefault="0028765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58" w:rsidRDefault="0028765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58" w:rsidRDefault="0028765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58" w:rsidRDefault="0028765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658" w:rsidRDefault="00C1312E" w:rsidP="00C1312E">
      <w:pPr>
        <w:spacing w:after="0"/>
        <w:ind w:firstLine="709"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 w:rsidR="00D26C71">
        <w:rPr>
          <w:rFonts w:ascii="Times New Roman" w:hAnsi="Times New Roman" w:cs="Times New Roman"/>
          <w:sz w:val="24"/>
          <w:szCs w:val="24"/>
        </w:rPr>
        <w:tab/>
      </w:r>
      <w:r w:rsidR="00D26C71">
        <w:rPr>
          <w:rFonts w:ascii="Times New Roman" w:hAnsi="Times New Roman" w:cs="Times New Roman"/>
          <w:sz w:val="24"/>
          <w:szCs w:val="24"/>
        </w:rPr>
        <w:tab/>
      </w:r>
      <w:r w:rsidR="00563B4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D26C71">
        <w:rPr>
          <w:rFonts w:ascii="Times New Roman" w:hAnsi="Times New Roman" w:cs="Times New Roman"/>
          <w:sz w:val="24"/>
          <w:szCs w:val="24"/>
        </w:rPr>
        <w:tab/>
      </w:r>
      <w:r w:rsidR="00D26C71">
        <w:rPr>
          <w:rFonts w:ascii="Times New Roman" w:hAnsi="Times New Roman" w:cs="Times New Roman"/>
          <w:sz w:val="24"/>
          <w:szCs w:val="24"/>
        </w:rPr>
        <w:tab/>
      </w:r>
      <w:r w:rsidR="00D26C71">
        <w:rPr>
          <w:rFonts w:ascii="Times New Roman" w:hAnsi="Times New Roman" w:cs="Times New Roman"/>
          <w:sz w:val="24"/>
          <w:szCs w:val="24"/>
        </w:rPr>
        <w:tab/>
      </w:r>
      <w:r w:rsidR="00D26C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Павло ГОЛОДНІКОВ</w:t>
      </w:r>
    </w:p>
    <w:p w:rsidR="00287658" w:rsidRDefault="00287658">
      <w:pPr>
        <w:pStyle w:val="a8"/>
        <w:ind w:firstLine="709"/>
        <w:jc w:val="both"/>
      </w:pPr>
    </w:p>
    <w:sectPr w:rsidR="00287658" w:rsidSect="00563B47">
      <w:pgSz w:w="11906" w:h="16838"/>
      <w:pgMar w:top="426" w:right="850" w:bottom="850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WenQuanYi Micro Hei">
    <w:charset w:val="80"/>
    <w:family w:val="auto"/>
    <w:pitch w:val="variable"/>
  </w:font>
  <w:font w:name="Lohit Devanagari">
    <w:altName w:val="Times New Roman"/>
    <w:charset w:val="01"/>
    <w:family w:val="auto"/>
    <w:pitch w:val="default"/>
  </w:font>
  <w:font w:name="Antiqua">
    <w:altName w:val="Arial Narro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658"/>
    <w:rsid w:val="00127B61"/>
    <w:rsid w:val="001965DF"/>
    <w:rsid w:val="00287658"/>
    <w:rsid w:val="002F1223"/>
    <w:rsid w:val="00401605"/>
    <w:rsid w:val="00563B47"/>
    <w:rsid w:val="007804F0"/>
    <w:rsid w:val="008707A4"/>
    <w:rsid w:val="00B141C6"/>
    <w:rsid w:val="00B45CF2"/>
    <w:rsid w:val="00C1312E"/>
    <w:rsid w:val="00D26C71"/>
    <w:rsid w:val="00FC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20B3"/>
  <w15:docId w15:val="{A6724620-340D-44FE-BA67-EF8D166F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3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02F7C"/>
    <w:rPr>
      <w:color w:val="0000FF"/>
      <w:u w:val="single"/>
    </w:rPr>
  </w:style>
  <w:style w:type="character" w:styleId="a3">
    <w:name w:val="Strong"/>
    <w:basedOn w:val="a0"/>
    <w:qFormat/>
    <w:rsid w:val="00FF4009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88491D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qFormat/>
    <w:rsid w:val="00FD3B5C"/>
  </w:style>
  <w:style w:type="paragraph" w:customStyle="1" w:styleId="1">
    <w:name w:val="Заголовок1"/>
    <w:basedOn w:val="a"/>
    <w:next w:val="a5"/>
    <w:qFormat/>
    <w:rsid w:val="00287658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rsid w:val="00287658"/>
    <w:pPr>
      <w:spacing w:after="140" w:line="288" w:lineRule="auto"/>
    </w:pPr>
  </w:style>
  <w:style w:type="paragraph" w:styleId="a6">
    <w:name w:val="List"/>
    <w:basedOn w:val="a5"/>
    <w:rsid w:val="00287658"/>
    <w:rPr>
      <w:rFonts w:cs="Lohit Devanagari"/>
    </w:rPr>
  </w:style>
  <w:style w:type="paragraph" w:customStyle="1" w:styleId="10">
    <w:name w:val="Название объекта1"/>
    <w:basedOn w:val="a"/>
    <w:qFormat/>
    <w:rsid w:val="0028765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287658"/>
    <w:pPr>
      <w:suppressLineNumbers/>
    </w:pPr>
    <w:rPr>
      <w:rFonts w:cs="Lohit Devanagari"/>
    </w:rPr>
  </w:style>
  <w:style w:type="paragraph" w:styleId="a8">
    <w:name w:val="No Spacing"/>
    <w:uiPriority w:val="1"/>
    <w:qFormat/>
    <w:rsid w:val="00D30611"/>
  </w:style>
  <w:style w:type="paragraph" w:styleId="a9">
    <w:name w:val="Balloon Text"/>
    <w:basedOn w:val="a"/>
    <w:uiPriority w:val="99"/>
    <w:semiHidden/>
    <w:unhideWhenUsed/>
    <w:qFormat/>
    <w:rsid w:val="008849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заголов"/>
    <w:basedOn w:val="a"/>
    <w:qFormat/>
    <w:rsid w:val="00FD3B5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hapkaDocumentu">
    <w:name w:val="Shapka Documentu"/>
    <w:basedOn w:val="a"/>
    <w:qFormat/>
    <w:rsid w:val="00FD3B5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Шаповалова</cp:lastModifiedBy>
  <cp:revision>6</cp:revision>
  <cp:lastPrinted>2023-10-04T06:40:00Z</cp:lastPrinted>
  <dcterms:created xsi:type="dcterms:W3CDTF">2023-09-20T06:08:00Z</dcterms:created>
  <dcterms:modified xsi:type="dcterms:W3CDTF">2023-10-04T06:40:00Z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