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4CF" w:rsidRPr="000544CF" w:rsidRDefault="000544CF" w:rsidP="000544CF">
      <w:pPr>
        <w:rPr>
          <w:b/>
          <w:lang w:val="ru-RU"/>
        </w:rPr>
      </w:pPr>
      <w:r w:rsidRPr="000544CF"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2754630</wp:posOffset>
            </wp:positionH>
            <wp:positionV relativeFrom="paragraph">
              <wp:posOffset>-452120</wp:posOffset>
            </wp:positionV>
            <wp:extent cx="419735" cy="60007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735" cy="6000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4CF" w:rsidRPr="000544CF" w:rsidRDefault="000544CF" w:rsidP="00054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ЗМІЇВСЬКА </w:t>
      </w: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>МІСЬКА</w:t>
      </w:r>
      <w:r w:rsidRPr="000544C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РАДА</w:t>
      </w:r>
    </w:p>
    <w:p w:rsidR="000544CF" w:rsidRPr="000544CF" w:rsidRDefault="000544CF" w:rsidP="00054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>ЧУГУЇВСЬКОГО РАЙОНУ ХАРКІВСЬКОЇ ОБЛАСТІ</w:t>
      </w:r>
    </w:p>
    <w:p w:rsidR="000544CF" w:rsidRPr="000544CF" w:rsidRDefault="000544CF" w:rsidP="000544C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>ХХІІ</w:t>
      </w:r>
      <w:r w:rsidRPr="000544CF">
        <w:rPr>
          <w:rFonts w:ascii="Times New Roman" w:hAnsi="Times New Roman" w:cs="Times New Roman"/>
          <w:b/>
          <w:sz w:val="24"/>
          <w:szCs w:val="24"/>
        </w:rPr>
        <w:t>I</w:t>
      </w: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сесія </w:t>
      </w:r>
      <w:r w:rsidRPr="000544CF">
        <w:rPr>
          <w:rFonts w:ascii="Times New Roman" w:hAnsi="Times New Roman" w:cs="Times New Roman"/>
          <w:b/>
          <w:sz w:val="24"/>
          <w:szCs w:val="24"/>
          <w:lang w:val="ru-RU"/>
        </w:rPr>
        <w:t>VIII</w:t>
      </w: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скликання</w:t>
      </w:r>
    </w:p>
    <w:p w:rsidR="000544CF" w:rsidRPr="000544CF" w:rsidRDefault="000544CF" w:rsidP="000544CF">
      <w:pPr>
        <w:jc w:val="center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sz w:val="24"/>
          <w:szCs w:val="24"/>
          <w:lang w:val="uk-UA"/>
        </w:rPr>
        <w:t>РІШЕННЯ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43"/>
        <w:gridCol w:w="2392"/>
        <w:gridCol w:w="3809"/>
      </w:tblGrid>
      <w:tr w:rsidR="000544CF" w:rsidRPr="000544CF" w:rsidTr="0017579F">
        <w:tc>
          <w:tcPr>
            <w:tcW w:w="3343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лютого 2022 року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       </w:t>
            </w:r>
          </w:p>
        </w:tc>
        <w:tc>
          <w:tcPr>
            <w:tcW w:w="2392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Зміїв</w:t>
            </w:r>
            <w:proofErr w:type="spellEnd"/>
          </w:p>
        </w:tc>
        <w:tc>
          <w:tcPr>
            <w:tcW w:w="3809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                       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№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2113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-ХХІІ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0544CF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</w:tr>
    </w:tbl>
    <w:p w:rsidR="000544CF" w:rsidRPr="000544CF" w:rsidRDefault="000544CF" w:rsidP="000544CF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  <w:gridCol w:w="3190"/>
        <w:gridCol w:w="3191"/>
      </w:tblGrid>
      <w:tr w:rsidR="000544CF" w:rsidRPr="000544CF" w:rsidTr="0017579F">
        <w:tc>
          <w:tcPr>
            <w:tcW w:w="4503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Про внесення змін до Програми зайнятості населення </w:t>
            </w:r>
            <w:proofErr w:type="spellStart"/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на 2022-2024 роки, затвердженої рішенням ХХІ сесії </w:t>
            </w:r>
            <w:proofErr w:type="spellStart"/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міської ради VІIІ скликання від 21.12.2021 № 1802-ХХІ- VІIІ</w:t>
            </w:r>
          </w:p>
        </w:tc>
        <w:tc>
          <w:tcPr>
            <w:tcW w:w="3190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191" w:type="dxa"/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0544CF" w:rsidRPr="000544CF" w:rsidRDefault="000544CF" w:rsidP="000544CF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544CF" w:rsidRDefault="000544CF" w:rsidP="000544CF">
      <w:pPr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sz w:val="24"/>
          <w:szCs w:val="24"/>
          <w:lang w:val="uk-UA"/>
        </w:rPr>
        <w:t xml:space="preserve">Відповідно до пункту 22 статті 26 Закону України «Про місцеве самоврядування в Україні», розглянувши лист начальника управління соціального захисту населення </w:t>
      </w:r>
      <w:proofErr w:type="spellStart"/>
      <w:r w:rsidRPr="000544CF">
        <w:rPr>
          <w:rFonts w:ascii="Times New Roman" w:hAnsi="Times New Roman" w:cs="Times New Roman"/>
          <w:sz w:val="24"/>
          <w:szCs w:val="24"/>
          <w:lang w:val="uk-UA"/>
        </w:rPr>
        <w:t>Зміївської</w:t>
      </w:r>
      <w:proofErr w:type="spellEnd"/>
      <w:r w:rsidRPr="000544CF">
        <w:rPr>
          <w:rFonts w:ascii="Times New Roman" w:hAnsi="Times New Roman" w:cs="Times New Roman"/>
          <w:sz w:val="24"/>
          <w:szCs w:val="24"/>
          <w:lang w:val="uk-UA"/>
        </w:rPr>
        <w:t xml:space="preserve"> міської ради Світлани ПОВІДЕРНОЇ від 26.01.2022 року № 122, враховуючи рішення постійної комісії міської ради з питань планування, фінансів, бюджету, соціально-економічного розвитку та регуляторної політики (витяг з протоколу №</w:t>
      </w:r>
      <w:r w:rsidRPr="000544CF">
        <w:rPr>
          <w:rFonts w:ascii="Times New Roman" w:hAnsi="Times New Roman" w:cs="Times New Roman"/>
          <w:sz w:val="24"/>
          <w:szCs w:val="24"/>
        </w:rPr>
        <w:t> </w:t>
      </w:r>
      <w:r w:rsidRPr="000544CF">
        <w:rPr>
          <w:rFonts w:ascii="Times New Roman" w:hAnsi="Times New Roman" w:cs="Times New Roman"/>
          <w:sz w:val="24"/>
          <w:szCs w:val="24"/>
          <w:lang w:val="uk-UA"/>
        </w:rPr>
        <w:t xml:space="preserve">28 засідання постійної комісії від 08 лютого 2022 року), постійної комісії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 23 засідання постійної комісії від 08 лютого 2022 року),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0544CF">
        <w:rPr>
          <w:rFonts w:ascii="Times New Roman" w:hAnsi="Times New Roman" w:cs="Times New Roman"/>
          <w:sz w:val="24"/>
          <w:szCs w:val="24"/>
          <w:lang w:val="uk-UA"/>
        </w:rPr>
        <w:t>міська рада</w:t>
      </w:r>
    </w:p>
    <w:p w:rsidR="000544CF" w:rsidRPr="000544CF" w:rsidRDefault="000544CF" w:rsidP="000544CF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</w:p>
    <w:p w:rsidR="000544CF" w:rsidRPr="000544CF" w:rsidRDefault="000544CF" w:rsidP="000544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>В И Р І Ш И Л А:</w:t>
      </w:r>
    </w:p>
    <w:p w:rsidR="000544CF" w:rsidRPr="000544CF" w:rsidRDefault="000544CF" w:rsidP="000544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1. </w:t>
      </w:r>
      <w:proofErr w:type="spellStart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Внести</w:t>
      </w:r>
      <w:proofErr w:type="spellEnd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до Програми зайнятості населення </w:t>
      </w:r>
      <w:proofErr w:type="spellStart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Зміївської</w:t>
      </w:r>
      <w:proofErr w:type="spellEnd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на 2022-2024 роки, затвердженої рішенням ХХІ сесії </w:t>
      </w:r>
      <w:proofErr w:type="spellStart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Зміївської</w:t>
      </w:r>
      <w:proofErr w:type="spellEnd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міської ради VІIІ скликання від 21.12.2021 № 1802-ХХІ- VІIІ, наступну зміну:</w:t>
      </w:r>
    </w:p>
    <w:p w:rsidR="000544CF" w:rsidRPr="000544CF" w:rsidRDefault="000544CF" w:rsidP="000544CF">
      <w:pPr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підпункт 30 пункту 6 «Налагодження шляхів ефективної співпраці </w:t>
      </w:r>
      <w:proofErr w:type="spellStart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стейкхолдерів</w:t>
      </w:r>
      <w:proofErr w:type="spellEnd"/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» розділу ІІІ «Напрями та заходи щодо поліпшення ситуації у сфері зайнятості населення на 2022-2024 роки» викласти в наступній редакції:</w:t>
      </w:r>
    </w:p>
    <w:tbl>
      <w:tblPr>
        <w:tblW w:w="1005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44"/>
        <w:gridCol w:w="1417"/>
        <w:gridCol w:w="2410"/>
        <w:gridCol w:w="1139"/>
        <w:gridCol w:w="1129"/>
        <w:gridCol w:w="1275"/>
        <w:gridCol w:w="1134"/>
        <w:gridCol w:w="1002"/>
      </w:tblGrid>
      <w:tr w:rsidR="000544CF" w:rsidRPr="000544CF" w:rsidTr="0017579F"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№</w:t>
            </w:r>
          </w:p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з/п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заходу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Виконавці</w:t>
            </w:r>
            <w:proofErr w:type="spellEnd"/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Термін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виконання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Джерела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фінансування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державний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місцевий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 xml:space="preserve">бюджет,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інші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)</w:t>
            </w:r>
          </w:p>
        </w:tc>
        <w:tc>
          <w:tcPr>
            <w:tcW w:w="34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lastRenderedPageBreak/>
              <w:t>Прогнозний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обсяг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фінансових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ресурсів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виконання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завдань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, тис. грн.</w:t>
            </w:r>
          </w:p>
        </w:tc>
      </w:tr>
      <w:tr w:rsidR="000544CF" w:rsidRPr="000544CF" w:rsidTr="0017579F">
        <w:tc>
          <w:tcPr>
            <w:tcW w:w="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2022</w:t>
            </w:r>
          </w:p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2023</w:t>
            </w:r>
          </w:p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рік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2024 рік</w:t>
            </w:r>
          </w:p>
        </w:tc>
      </w:tr>
      <w:tr w:rsidR="000544CF" w:rsidRPr="000544CF" w:rsidTr="0017579F">
        <w:tc>
          <w:tcPr>
            <w:tcW w:w="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Залучення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безробітних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інших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категорій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осіб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громадських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інших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робіт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тимчасового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характеру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Зміївська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міська рада, Управління соціального захисту населення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міської ради, відділ культури, молоді, спорту та туризму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міської ради,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Зміївська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районна філія Харківського обласного центру зайнятості, Комунальна установа Територіальний центр соціального обслуговування (надання соціальних послуг)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міської ради, Комунальна установа по забезпеченню діяльності з утримання та обслуговування майна комунальної власності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міської ради, Комунальне підприємство «Зміїв-сервіс» </w:t>
            </w: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Зміївської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 xml:space="preserve"> міської ради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Протягом</w:t>
            </w:r>
            <w:proofErr w:type="spellEnd"/>
          </w:p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2022-2024 років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proofErr w:type="spellStart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Міський</w:t>
            </w:r>
            <w:proofErr w:type="spellEnd"/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 xml:space="preserve"> бюджет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787807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846404</w:t>
            </w:r>
          </w:p>
        </w:tc>
        <w:tc>
          <w:tcPr>
            <w:tcW w:w="1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544CF" w:rsidRPr="000544CF" w:rsidRDefault="000544CF" w:rsidP="000544CF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</w:pPr>
            <w:r w:rsidRPr="000544CF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uk-UA"/>
              </w:rPr>
              <w:t>909180</w:t>
            </w:r>
          </w:p>
        </w:tc>
      </w:tr>
    </w:tbl>
    <w:p w:rsidR="000544CF" w:rsidRPr="000544CF" w:rsidRDefault="000544CF" w:rsidP="000544CF">
      <w:pPr>
        <w:pStyle w:val="a3"/>
        <w:numPr>
          <w:ilvl w:val="0"/>
          <w:numId w:val="1"/>
        </w:numPr>
        <w:tabs>
          <w:tab w:val="clear" w:pos="5820"/>
        </w:tabs>
        <w:ind w:left="-142" w:firstLine="851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Cs/>
          <w:iCs/>
          <w:sz w:val="24"/>
          <w:szCs w:val="24"/>
          <w:lang w:val="uk-UA"/>
        </w:rPr>
        <w:t>Контроль за виконанням даного рішення покласти на постійну комісію міської ради з питань планування, фінансів, бюджету, соціально-економічного розвитку та регуляторної політики (Віталій КУЛІШ), постійну комісію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(Костянтин РУДЕНКО).</w:t>
      </w:r>
    </w:p>
    <w:p w:rsidR="000544CF" w:rsidRPr="000544CF" w:rsidRDefault="000544CF" w:rsidP="000544CF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</w:p>
    <w:p w:rsidR="000544CF" w:rsidRPr="000544CF" w:rsidRDefault="000544CF">
      <w:pPr>
        <w:jc w:val="both"/>
        <w:rPr>
          <w:rFonts w:ascii="Times New Roman" w:hAnsi="Times New Roman" w:cs="Times New Roman"/>
          <w:bCs/>
          <w:iCs/>
          <w:sz w:val="24"/>
          <w:szCs w:val="24"/>
          <w:lang w:val="uk-UA"/>
        </w:rPr>
      </w:pPr>
      <w:r w:rsidRPr="000544C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Міський голова                                                                   </w:t>
      </w:r>
      <w:r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</w:t>
      </w:r>
      <w:bookmarkStart w:id="0" w:name="_GoBack"/>
      <w:bookmarkEnd w:id="0"/>
      <w:r w:rsidRPr="000544C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 xml:space="preserve">            </w:t>
      </w:r>
      <w:r w:rsidRPr="000544CF"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  <w:tab/>
        <w:t>Павло ГОЛОДНІКОВ</w:t>
      </w:r>
    </w:p>
    <w:sectPr w:rsidR="000544CF" w:rsidRPr="000544CF" w:rsidSect="000544CF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8CF2A05A"/>
    <w:name w:val="WW8Num1"/>
    <w:lvl w:ilvl="0">
      <w:start w:val="1"/>
      <w:numFmt w:val="decimal"/>
      <w:lvlText w:val="%1."/>
      <w:lvlJc w:val="left"/>
      <w:pPr>
        <w:tabs>
          <w:tab w:val="num" w:pos="5820"/>
        </w:tabs>
        <w:ind w:left="5820" w:hanging="780"/>
      </w:pPr>
      <w:rPr>
        <w:rFonts w:ascii="Times New Roman" w:eastAsia="Times New Roman" w:hAnsi="Times New Roman" w:cs="Times New Roman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1B5"/>
    <w:rsid w:val="000544CF"/>
    <w:rsid w:val="00407D2D"/>
    <w:rsid w:val="00961765"/>
    <w:rsid w:val="00D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C2A84"/>
  <w15:chartTrackingRefBased/>
  <w15:docId w15:val="{777C2983-2AB0-4D47-B4E3-7894F781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4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07D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7D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Шаповалова</dc:creator>
  <cp:keywords/>
  <dc:description/>
  <cp:lastModifiedBy>Ольга Шаповалова</cp:lastModifiedBy>
  <cp:revision>3</cp:revision>
  <cp:lastPrinted>2022-02-15T13:42:00Z</cp:lastPrinted>
  <dcterms:created xsi:type="dcterms:W3CDTF">2022-02-15T13:28:00Z</dcterms:created>
  <dcterms:modified xsi:type="dcterms:W3CDTF">2022-02-15T13:42:00Z</dcterms:modified>
</cp:coreProperties>
</file>