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№5330-ХСVІ-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b w:val="false"/>
          <w:b w:val="false"/>
          <w:bCs w:val="false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b w:val="false"/>
          <w:bCs w:val="false"/>
          <w:i w:val="false"/>
          <w:color w:val="000000"/>
          <w:highlight w:val="white"/>
          <w:lang w:eastAsia="zh-CN" w:bidi="ar-SA"/>
        </w:rPr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 xml:space="preserve">Про надання дозволу гр. Поляковій Т. І. на розроблення проекту землеустрою щодо відведення земельної ділянки  в оренду для городництва, що розташована в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3"/>
          <w:szCs w:val="24"/>
          <w:highlight w:val="white"/>
          <w:shd w:fill="FFFFFF" w:val="clear"/>
          <w:lang w:val="uk-UA" w:eastAsia="zh-CN" w:bidi="ar-SA"/>
        </w:rPr>
        <w:t xml:space="preserve"> на території Зміївської міської територіальної громади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заяву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Полякової Тетяни Іванівни,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, про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надання дозволу на розроблення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ки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оренд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для городництва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що розташована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 на території Зміївської міської територіальної громади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графічний матеріал,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наданий заявником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3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 гр. Поляковій Тетяні Іванівні, реєстраційний номер облікової картки                   платника податків з Державного реєстру фізичних осіб - платників податків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,</w:t>
      </w:r>
      <w:r>
        <w:rPr>
          <w:color w:val="000000"/>
          <w:sz w:val="23"/>
          <w:szCs w:val="24"/>
          <w:lang w:val="uk-UA"/>
        </w:rPr>
        <w:t xml:space="preserve">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3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7</w:t>
      </w:r>
      <w:r>
        <w:rPr>
          <w:color w:val="000000"/>
          <w:sz w:val="23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орієнтовною </w:t>
      </w:r>
      <w:r>
        <w:rPr>
          <w:color w:val="000000"/>
          <w:sz w:val="23"/>
          <w:szCs w:val="24"/>
          <w:lang w:val="uk-UA"/>
        </w:rPr>
        <w:t>площею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 0,1600</w:t>
      </w:r>
      <w:r>
        <w:rPr>
          <w:color w:val="000000"/>
          <w:sz w:val="23"/>
          <w:szCs w:val="24"/>
          <w:lang w:val="uk-UA"/>
        </w:rPr>
        <w:t xml:space="preserve"> га за рахунок земель комунальної власності територіальної громади,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 xml:space="preserve"> на території Зміївської міської територіальної громади.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color w:val="000000"/>
          <w:sz w:val="23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Поляковій Т. І. </w:t>
      </w:r>
      <w:r>
        <w:rPr>
          <w:color w:val="000000"/>
          <w:sz w:val="23"/>
          <w:szCs w:val="24"/>
          <w:lang w:val="uk-UA"/>
        </w:rPr>
        <w:t>звернутись до розробника документації із                     землеустрою, який відповідає вимогам закону, для виготовлення проекту землеустрою, що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 xml:space="preserve"> у користування на правах оренди.</w:t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3"/>
          <w:szCs w:val="24"/>
          <w:lang w:val="uk-UA"/>
        </w:rPr>
        <w:t xml:space="preserve">3. Попередити гр. </w:t>
      </w:r>
      <w:r>
        <w:rPr>
          <w:rStyle w:val="Style12"/>
          <w:rFonts w:eastAsia="Times New Roman" w:cs="Times New Roman"/>
          <w:color w:val="000000"/>
          <w:sz w:val="23"/>
          <w:szCs w:val="24"/>
          <w:lang w:val="uk-UA" w:eastAsia="zh-CN" w:bidi="ar-SA"/>
        </w:rPr>
        <w:t>Полякову Т. І.</w:t>
      </w:r>
      <w:r>
        <w:rPr>
          <w:rStyle w:val="Style12"/>
          <w:color w:val="000000"/>
          <w:sz w:val="23"/>
          <w:szCs w:val="24"/>
          <w:lang w:val="uk-UA"/>
        </w:rPr>
        <w:t xml:space="preserve"> 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4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3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Application>LibreOffice/5.1.6.2$Linux_X86_64 LibreOffice_project/10m0$Build-2</Application>
  <Pages>1</Pages>
  <Words>353</Words>
  <Characters>2310</Characters>
  <CharactersWithSpaces>2863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2026-04-09T15:06:51Z</cp:lastPrinted>
  <dcterms:modified xsi:type="dcterms:W3CDTF">2026-04-14T09:37:30Z</dcterms:modified>
  <cp:revision>563</cp:revision>
  <dc:subject/>
  <dc:title/>
</cp:coreProperties>
</file>