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№5227-ХСІV-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tLeast" w:line="200" w:before="0" w:after="160"/>
        <w:ind w:left="0" w:right="4706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en-US" w:bidi="ar-SA"/>
        </w:rPr>
        <w:t xml:space="preserve">Про затвердження гр. Стрельніковій С. А. проекту землеустрою щодо відведення земельної ділянки та передачу її в оренду для городництва, що розташована по                   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Стрельнікової Світлани Анатоліївни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реєстраційний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проекту землеустрою щодо відведення земельної ділянки та передачу її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оренду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строком на 49 років, враховуючи проект землеустрою щодо відведення земельної ділянки, розроблений ФО-П Солдатенко В.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НВ-2601113532025 від 06.08.2025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Івано-Франківській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9931375042026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із технічної документації з нормативної грошової оцінки земельних ділянок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28.01.2026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36, 122, 123, 124, 125, 126, 134, 186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            гр. Стрельніковій Світлані Анатоліївні для городництва (код КВЦПЗ - 01.07), розташованої 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Стрельніковій Світлані Анатоліївні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реєстраційний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6321782501:01:003:0075,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для городництва (код КВЦПЗД - 01.07) земель сільськогосподарського призначення комунальної власності Зміївської міської ради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 площею 0,1100 га (сільськогосподарські землі - 0,1100 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- 0,1100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Стрельніковій С. А.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                п. 2 даного рішення, в розмірі 8 % від нормативної грошової оцінки землі, але не нижче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6321782501:01:003:0075,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гр. Стрельніковій С. А.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забезпечити підготовку та укладання                          договору оренди земельної ділянки зі Зміївською міською радою Чугуївського району                           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                       ГУ ДПС у Харківській області.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6.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11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Application>LibreOffice/5.1.6.2$Linux_X86_64 LibreOffice_project/10m0$Build-2</Application>
  <Pages>2</Pages>
  <Words>458</Words>
  <Characters>3043</Characters>
  <CharactersWithSpaces>3809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2026-02-19T15:36:15Z</cp:lastPrinted>
  <dcterms:modified xsi:type="dcterms:W3CDTF">2026-02-20T10:57:14Z</dcterms:modified>
  <cp:revision>532</cp:revision>
  <dc:subject/>
  <dc:title/>
</cp:coreProperties>
</file>