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C7" w:rsidRDefault="00B951C7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951C7" w:rsidRDefault="00B951C7">
      <w:pPr>
        <w:spacing w:after="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951C7" w:rsidRDefault="00EE57E7">
      <w:pPr>
        <w:spacing w:after="0"/>
        <w:jc w:val="right"/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10210" cy="5905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94" t="-309" r="-494" b="-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951C7" w:rsidRDefault="00EE57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ЗМІЇВСЬКА МІСЬКА РАДА</w:t>
      </w:r>
    </w:p>
    <w:p w:rsidR="00EE57E7" w:rsidRDefault="00EE57E7">
      <w:pPr>
        <w:spacing w:after="0"/>
        <w:jc w:val="center"/>
      </w:pPr>
    </w:p>
    <w:p w:rsidR="00B951C7" w:rsidRDefault="00EE57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ЧУГУЇВСЬКОГО РАЙОНУ  ХАРКІВСЬКОЇ ОБЛАСТІ</w:t>
      </w:r>
    </w:p>
    <w:p w:rsidR="00EE57E7" w:rsidRDefault="00EE57E7">
      <w:pPr>
        <w:spacing w:after="0"/>
        <w:jc w:val="center"/>
      </w:pPr>
    </w:p>
    <w:p w:rsidR="00B951C7" w:rsidRDefault="00EE57E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LXXXI </w:t>
      </w:r>
      <w:r>
        <w:rPr>
          <w:rFonts w:ascii="Times New Roman" w:hAnsi="Times New Roman"/>
          <w:b/>
          <w:sz w:val="28"/>
          <w:szCs w:val="28"/>
        </w:rPr>
        <w:t>сесія VIII скликання</w:t>
      </w:r>
    </w:p>
    <w:p w:rsidR="00B951C7" w:rsidRDefault="00B951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51C7" w:rsidRDefault="00EE57E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951C7" w:rsidRDefault="00B951C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44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B951C7">
        <w:tc>
          <w:tcPr>
            <w:tcW w:w="3343" w:type="dxa"/>
            <w:shd w:val="clear" w:color="auto" w:fill="auto"/>
          </w:tcPr>
          <w:p w:rsidR="00B951C7" w:rsidRDefault="00EE57E7">
            <w:pPr>
              <w:spacing w:after="0"/>
              <w:ind w:left="-105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03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квітня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 року</w:t>
            </w:r>
          </w:p>
        </w:tc>
        <w:tc>
          <w:tcPr>
            <w:tcW w:w="2391" w:type="dxa"/>
            <w:shd w:val="clear" w:color="auto" w:fill="auto"/>
          </w:tcPr>
          <w:p w:rsidR="00B951C7" w:rsidRDefault="00EE57E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B951C7" w:rsidRDefault="00EE57E7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4420-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LXXXI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-VIII</w:t>
            </w:r>
          </w:p>
        </w:tc>
      </w:tr>
      <w:tr w:rsidR="00EE57E7">
        <w:tc>
          <w:tcPr>
            <w:tcW w:w="3343" w:type="dxa"/>
            <w:shd w:val="clear" w:color="auto" w:fill="auto"/>
          </w:tcPr>
          <w:p w:rsidR="00EE57E7" w:rsidRDefault="00EE57E7">
            <w:pPr>
              <w:spacing w:after="0"/>
              <w:ind w:left="-10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EE57E7" w:rsidRDefault="00EE57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EE57E7" w:rsidRDefault="00EE57E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3273"/>
        <w:jc w:val="both"/>
        <w:rPr>
          <w:rFonts w:ascii="Times New Roman" w:eastAsia="Times New Roman" w:hAnsi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B951C7" w:rsidRDefault="00EE57E7">
      <w:pPr>
        <w:shd w:val="clear" w:color="auto" w:fill="FFFFFF"/>
        <w:tabs>
          <w:tab w:val="left" w:pos="0"/>
        </w:tabs>
        <w:spacing w:after="0" w:line="200" w:lineRule="atLeast"/>
        <w:ind w:right="4535"/>
        <w:jc w:val="both"/>
      </w:pPr>
      <w:r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Про встановлення розміру кошторисної заробітної плати на 2025 </w:t>
      </w:r>
      <w:r>
        <w:rPr>
          <w:rFonts w:ascii="Times New Roman" w:eastAsia="Times New Roman" w:hAnsi="Times New Roman" w:cs="Times New Roman"/>
          <w:b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>рік при визначенні вартості робіт по будівництву, реконструкції та капітальному ремонту об'єктів, що проводяться за рахунок коштів місцевого бюджету</w:t>
      </w:r>
    </w:p>
    <w:p w:rsidR="00B951C7" w:rsidRDefault="00EE57E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highlight w:val="white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</w:t>
      </w:r>
    </w:p>
    <w:p w:rsidR="00B951C7" w:rsidRDefault="00EE57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статті 26 Закону України «Про місцеве самоврядування в Україні»,  наказу Міністерства регіонального розвитку, будівництва та житлово-комунального господарства України «Про затвердження Порядку розрахунку розміру кошторисної заробітної плати,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який враховується при визначенні вартості будівництва об’єктів» від 20.10.2016 року №281 (із змінами),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враховуючи постанову Кабінету Міністрів України від 28.06.2024 №780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схвалення основних прогнозних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макропоказників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економічного і соціального розвитк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України на 2025-</w:t>
      </w:r>
      <w:r w:rsidRPr="00EE5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2027 роки</w:t>
      </w:r>
      <w:r w:rsidRPr="00EE5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EE57E7">
        <w:rPr>
          <w:rFonts w:ascii="Times New Roman" w:hAnsi="Times New Roman" w:cs="Times New Roman"/>
          <w:color w:val="000000"/>
          <w:sz w:val="24"/>
          <w:szCs w:val="24"/>
        </w:rPr>
        <w:t xml:space="preserve">та з </w:t>
      </w:r>
      <w:r w:rsidRPr="00EE57E7">
        <w:rPr>
          <w:rFonts w:ascii="Times New Roman" w:hAnsi="Times New Roman" w:cs="Times New Roman"/>
          <w:color w:val="000000"/>
          <w:sz w:val="24"/>
          <w:szCs w:val="24"/>
        </w:rPr>
        <w:t>метою ефективного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використання фінансових ресурсів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враховуючи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87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засідання постійної комісії від 02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квітня 2025 року), </w:t>
      </w:r>
      <w:r w:rsidRPr="00EE57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Зміївська міська рада</w:t>
      </w:r>
    </w:p>
    <w:p w:rsidR="00B951C7" w:rsidRDefault="00B951C7">
      <w:pPr>
        <w:spacing w:after="0"/>
        <w:ind w:left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51C7" w:rsidRDefault="00EE57E7" w:rsidP="00EE57E7">
      <w:p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EE57E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  <w:t>1. Встановити розмір кошторисної заробітної плати на 2025 рік при визначенні вартості робіт будівництва, реконструкції та капіталь</w:t>
      </w: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ar-SA"/>
        </w:rPr>
        <w:t xml:space="preserve">ного ремонту об'єктів, що проводяться за рахунок коштів місцевого бюджету, в розмірі 19 213,96 </w:t>
      </w:r>
      <w:r>
        <w:rPr>
          <w:rFonts w:ascii="Times New Roman" w:hAnsi="Times New Roman" w:cs="Times New Roman"/>
          <w:sz w:val="24"/>
          <w:szCs w:val="24"/>
        </w:rPr>
        <w:t>грн</w:t>
      </w: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ar-SA"/>
        </w:rPr>
        <w:t>, розрахунок у додатку.</w:t>
      </w:r>
    </w:p>
    <w:p w:rsidR="00B951C7" w:rsidRDefault="00EE57E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чного розвитку та регуляторної політики (Костянтин РУДЕНКО).</w:t>
      </w: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EE57E7">
      <w:pPr>
        <w:tabs>
          <w:tab w:val="left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Павло ГОЛОДНІКОВ</w:t>
      </w:r>
    </w:p>
    <w:p w:rsidR="00B951C7" w:rsidRDefault="00B951C7">
      <w:pPr>
        <w:shd w:val="clear" w:color="auto" w:fill="FFFFFF"/>
        <w:tabs>
          <w:tab w:val="left" w:pos="0"/>
        </w:tabs>
        <w:spacing w:after="0" w:line="200" w:lineRule="atLeast"/>
        <w:ind w:right="45" w:firstLine="709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B951C7">
      <w:pPr>
        <w:shd w:val="clear" w:color="auto" w:fill="FFFFFF"/>
        <w:tabs>
          <w:tab w:val="left" w:pos="0"/>
        </w:tabs>
        <w:spacing w:line="200" w:lineRule="atLeast"/>
        <w:ind w:right="45"/>
        <w:jc w:val="both"/>
        <w:rPr>
          <w:rFonts w:eastAsia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</w:p>
    <w:p w:rsidR="00B951C7" w:rsidRDefault="00B951C7">
      <w:pPr>
        <w:shd w:val="clear" w:color="auto" w:fill="FFFFFF"/>
        <w:tabs>
          <w:tab w:val="left" w:pos="0"/>
        </w:tabs>
        <w:spacing w:line="200" w:lineRule="atLeast"/>
        <w:ind w:right="45"/>
        <w:jc w:val="both"/>
        <w:rPr>
          <w:rFonts w:eastAsia="Times New Roman" w:cs="Times New Roman"/>
          <w:iCs/>
          <w:color w:val="000000"/>
          <w:spacing w:val="4"/>
          <w:shd w:val="clear" w:color="auto" w:fill="FFFFFF"/>
          <w:lang w:eastAsia="ar-SA"/>
        </w:rPr>
      </w:pPr>
    </w:p>
    <w:p w:rsidR="00B951C7" w:rsidRDefault="00B951C7" w:rsidP="00EE57E7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B951C7" w:rsidRDefault="00B951C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6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820"/>
        <w:gridCol w:w="236"/>
      </w:tblGrid>
      <w:tr w:rsidR="00B951C7" w:rsidTr="00EE57E7">
        <w:trPr>
          <w:trHeight w:val="255"/>
        </w:trPr>
        <w:tc>
          <w:tcPr>
            <w:tcW w:w="5051" w:type="dxa"/>
            <w:gridSpan w:val="2"/>
            <w:shd w:val="clear" w:color="auto" w:fill="auto"/>
            <w:vAlign w:val="center"/>
          </w:tcPr>
          <w:p w:rsidR="00B951C7" w:rsidRPr="00EE57E7" w:rsidRDefault="00EE5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Додаток</w:t>
            </w:r>
          </w:p>
        </w:tc>
      </w:tr>
      <w:tr w:rsidR="00B951C7" w:rsidTr="00EE57E7">
        <w:trPr>
          <w:trHeight w:val="342"/>
        </w:trPr>
        <w:tc>
          <w:tcPr>
            <w:tcW w:w="5051" w:type="dxa"/>
            <w:gridSpan w:val="2"/>
            <w:shd w:val="clear" w:color="auto" w:fill="auto"/>
            <w:vAlign w:val="center"/>
          </w:tcPr>
          <w:p w:rsidR="00B951C7" w:rsidRPr="00EE57E7" w:rsidRDefault="00EE5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рішення міської ради</w:t>
            </w:r>
          </w:p>
        </w:tc>
      </w:tr>
      <w:tr w:rsidR="00B951C7" w:rsidTr="00EE57E7">
        <w:trPr>
          <w:trHeight w:val="342"/>
        </w:trPr>
        <w:tc>
          <w:tcPr>
            <w:tcW w:w="4820" w:type="dxa"/>
            <w:shd w:val="clear" w:color="FFFFCC" w:fill="FFFFFF"/>
            <w:vAlign w:val="center"/>
          </w:tcPr>
          <w:p w:rsidR="00B951C7" w:rsidRPr="00EE57E7" w:rsidRDefault="00EE5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від </w:t>
            </w: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квітня 2025 року № </w:t>
            </w: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4420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LXXXI</w:t>
            </w: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-VIII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951C7" w:rsidRDefault="00B95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951C7" w:rsidTr="00EE57E7">
        <w:trPr>
          <w:trHeight w:val="597"/>
        </w:trPr>
        <w:tc>
          <w:tcPr>
            <w:tcW w:w="4820" w:type="dxa"/>
            <w:shd w:val="clear" w:color="FFFFCC" w:fill="FFFFFF"/>
          </w:tcPr>
          <w:p w:rsidR="00B951C7" w:rsidRPr="00EE57E7" w:rsidRDefault="00EE57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LXXXI </w:t>
            </w:r>
            <w:r w:rsidRPr="00EE57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сесія VІІІ скликання)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951C7" w:rsidRDefault="00B95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951C7" w:rsidRDefault="00B951C7" w:rsidP="00EE57E7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B951C7" w:rsidRDefault="00B951C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1C7" w:rsidRDefault="00EE57E7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Розрахунок</w:t>
      </w:r>
    </w:p>
    <w:p w:rsidR="00B951C7" w:rsidRDefault="00EE57E7">
      <w:pPr>
        <w:pStyle w:val="ab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кошторисної заробітної плати на 2025 </w:t>
      </w:r>
      <w:r>
        <w:rPr>
          <w:rFonts w:ascii="Times New Roman" w:hAnsi="Times New Roman" w:cs="Times New Roman"/>
          <w:b/>
          <w:sz w:val="24"/>
          <w:szCs w:val="24"/>
        </w:rPr>
        <w:t>рік при визначенні вартості робіт щодо об’єктів</w:t>
      </w:r>
    </w:p>
    <w:p w:rsidR="00B951C7" w:rsidRDefault="00EE57E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будівництва, реконструкції, капітального та поточного ремонтів, які здійснюються за рахунок коштів місцевого бюджету</w:t>
      </w:r>
    </w:p>
    <w:p w:rsidR="00B951C7" w:rsidRDefault="00B951C7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B951C7" w:rsidRDefault="00B951C7" w:rsidP="00EE57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EE57E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пункту 4 Наказу Міністерства регіонального розвитку, будівництва та </w:t>
      </w:r>
      <w:r>
        <w:rPr>
          <w:rFonts w:ascii="Times New Roman" w:hAnsi="Times New Roman" w:cs="Times New Roman"/>
          <w:sz w:val="24"/>
          <w:szCs w:val="24"/>
        </w:rPr>
        <w:t>житлово-комунального господарства України від 20.10.2016 р. № 281 «Про затвердження Порядку розрахунку розміру кошторисної заробітної плати, який враховується при визначенні вартості будівництва об’єктів» розмір кошторисної заробітної плати, який враховуєт</w:t>
      </w:r>
      <w:r>
        <w:rPr>
          <w:rFonts w:ascii="Times New Roman" w:hAnsi="Times New Roman" w:cs="Times New Roman"/>
          <w:sz w:val="24"/>
          <w:szCs w:val="24"/>
        </w:rPr>
        <w:t xml:space="preserve">ься при складанні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інвесторської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кошторисної документації (на стадії розроблення проектної документації), визначається замовником (інвестором) у складі вихідних даних на проектування, не нижче ніж середньомісячна заробітна плата у будівництві (у розрахунку </w:t>
      </w:r>
      <w:r>
        <w:rPr>
          <w:rFonts w:ascii="Times New Roman" w:hAnsi="Times New Roman" w:cs="Times New Roman"/>
          <w:sz w:val="24"/>
          <w:szCs w:val="24"/>
        </w:rPr>
        <w:t>на одного штатного працівника) за попередній звітний рік, що оприлюднюється центральним органом виконавчої влади в галузі статистики, збільшена на прогнозний індекс споживчих цін на поточний рік (у середньому до попереднього року).</w:t>
      </w:r>
    </w:p>
    <w:p w:rsidR="00B951C7" w:rsidRDefault="00EE57E7">
      <w:pPr>
        <w:pStyle w:val="ab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Враховуючи вищевикладене</w:t>
      </w:r>
      <w:r>
        <w:rPr>
          <w:rFonts w:ascii="Times New Roman" w:hAnsi="Times New Roman" w:cs="Times New Roman"/>
          <w:sz w:val="24"/>
          <w:szCs w:val="24"/>
        </w:rPr>
        <w:t xml:space="preserve"> та керуючись даними Державної служби статистики України щодо середньомісячної заробітної плати за видом економічної діяльності «Будівництво» за попередній звітний рік та прогнозного індексу споживчих цін на 2025 рік, відповідно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постанови Кабінету Міністрі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України від 28.06.2024 №780 «Про схвалення основних прогнозних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макропоказників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економічного і соціального розвитку України на 2025-2027 роки»</w:t>
      </w:r>
      <w:r>
        <w:rPr>
          <w:rFonts w:ascii="Times New Roman" w:hAnsi="Times New Roman" w:cs="Times New Roman"/>
          <w:sz w:val="24"/>
          <w:szCs w:val="24"/>
        </w:rPr>
        <w:t>, розмір кошторисної заробітної плати при визначенні вартості будівництва на стадії розроблення проектної докумен</w:t>
      </w:r>
      <w:r>
        <w:rPr>
          <w:rFonts w:ascii="Times New Roman" w:hAnsi="Times New Roman" w:cs="Times New Roman"/>
          <w:sz w:val="24"/>
          <w:szCs w:val="24"/>
        </w:rPr>
        <w:t>тації має бути встановлена не нижче, ніж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19 213,96</w:t>
      </w:r>
      <w:r>
        <w:rPr>
          <w:rFonts w:ascii="Times New Roman" w:hAnsi="Times New Roman" w:cs="Times New Roman"/>
          <w:sz w:val="24"/>
          <w:szCs w:val="24"/>
        </w:rPr>
        <w:t xml:space="preserve"> грн., а саме:</w:t>
      </w:r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EE57E7">
      <w:pPr>
        <w:pStyle w:val="ab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17515,0 грн х 1,097 = 19 213,96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грн,  де</w:t>
      </w:r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EE57E7">
      <w:pPr>
        <w:pStyle w:val="ab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17515,0 грн – за даними Державної служби статистики України середньомісячна заробітна плат</w:t>
      </w:r>
      <w:r>
        <w:rPr>
          <w:rFonts w:ascii="Times New Roman" w:hAnsi="Times New Roman" w:cs="Times New Roman"/>
          <w:sz w:val="24"/>
          <w:szCs w:val="24"/>
        </w:rPr>
        <w:t xml:space="preserve">а за видом економічної діяльності «Будівництво» за ІІІ квартал попереднього звітного року;  </w:t>
      </w:r>
    </w:p>
    <w:p w:rsidR="00B951C7" w:rsidRDefault="00EE57E7">
      <w:pPr>
        <w:pStyle w:val="ab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1,097 – прогнозний індекс споживчих цін на 2025 рік (у середньому до попереднього року).</w:t>
      </w:r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B951C7" w:rsidP="00EE57E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B951C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C7" w:rsidRDefault="00EE57E7" w:rsidP="00EE57E7">
      <w:pPr>
        <w:spacing w:after="0"/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E57E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Сергій РУДНЄВ</w:t>
      </w:r>
    </w:p>
    <w:p w:rsidR="00B951C7" w:rsidRDefault="00B951C7">
      <w:pPr>
        <w:pStyle w:val="ab"/>
        <w:ind w:firstLine="709"/>
        <w:jc w:val="both"/>
      </w:pPr>
    </w:p>
    <w:sectPr w:rsidR="00B951C7" w:rsidSect="00EE57E7">
      <w:pgSz w:w="11906" w:h="16838"/>
      <w:pgMar w:top="426" w:right="566" w:bottom="850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ntiqua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951C7"/>
    <w:rsid w:val="00B951C7"/>
    <w:rsid w:val="00E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E4AF"/>
  <w15:docId w15:val="{B0E8E286-2438-4642-9F27-B1705C88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3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502F7C"/>
    <w:rPr>
      <w:color w:val="0000FF"/>
      <w:u w:val="single"/>
    </w:rPr>
  </w:style>
  <w:style w:type="character" w:styleId="a3">
    <w:name w:val="Strong"/>
    <w:basedOn w:val="a0"/>
    <w:qFormat/>
    <w:rsid w:val="00FF4009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88491D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qFormat/>
    <w:rsid w:val="00FD3B5C"/>
  </w:style>
  <w:style w:type="character" w:styleId="a5">
    <w:name w:val="Hyperlink"/>
    <w:basedOn w:val="a0"/>
    <w:uiPriority w:val="99"/>
    <w:semiHidden/>
    <w:unhideWhenUsed/>
    <w:rsid w:val="00B464BC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87658"/>
    <w:pPr>
      <w:spacing w:after="140" w:line="288" w:lineRule="auto"/>
    </w:pPr>
  </w:style>
  <w:style w:type="paragraph" w:styleId="a8">
    <w:name w:val="List"/>
    <w:basedOn w:val="a7"/>
    <w:rsid w:val="00287658"/>
    <w:rPr>
      <w:rFonts w:cs="Lohit Devanagari"/>
    </w:rPr>
  </w:style>
  <w:style w:type="paragraph" w:customStyle="1" w:styleId="1">
    <w:name w:val="Название объекта1"/>
    <w:basedOn w:val="a"/>
    <w:qFormat/>
    <w:rsid w:val="0028765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rsid w:val="00287658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rsid w:val="00287658"/>
    <w:pPr>
      <w:suppressLineNumbers/>
    </w:pPr>
    <w:rPr>
      <w:rFonts w:cs="Lohit Devanagari"/>
    </w:rPr>
  </w:style>
  <w:style w:type="paragraph" w:styleId="ab">
    <w:name w:val="No Spacing"/>
    <w:uiPriority w:val="1"/>
    <w:qFormat/>
    <w:rsid w:val="00D30611"/>
  </w:style>
  <w:style w:type="paragraph" w:styleId="ac">
    <w:name w:val="Balloon Text"/>
    <w:basedOn w:val="a"/>
    <w:uiPriority w:val="99"/>
    <w:semiHidden/>
    <w:unhideWhenUsed/>
    <w:qFormat/>
    <w:rsid w:val="008849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заголов"/>
    <w:basedOn w:val="a"/>
    <w:qFormat/>
    <w:rsid w:val="00FD3B5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hapkaDocumentu">
    <w:name w:val="Shapka Documentu"/>
    <w:basedOn w:val="a"/>
    <w:qFormat/>
    <w:rsid w:val="00FD3B5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0"/>
      <w:lang w:eastAsia="ar-SA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9</cp:revision>
  <cp:lastPrinted>2025-04-04T10:42:00Z</cp:lastPrinted>
  <dcterms:created xsi:type="dcterms:W3CDTF">2024-06-14T08:01:00Z</dcterms:created>
  <dcterms:modified xsi:type="dcterms:W3CDTF">2025-04-04T10:42:00Z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