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84" w:rsidRDefault="005E18B0" w:rsidP="005E18B0">
      <w:pPr>
        <w:widowControl/>
        <w:tabs>
          <w:tab w:val="left" w:pos="1260"/>
        </w:tabs>
        <w:suppressAutoHyphens w:val="0"/>
        <w:autoSpaceDE w:val="0"/>
        <w:spacing w:line="200" w:lineRule="atLeast"/>
        <w:ind w:firstLine="15"/>
        <w:jc w:val="both"/>
      </w:pPr>
      <w:r>
        <w:rPr>
          <w:rFonts w:cs="Times New Roman"/>
          <w:bCs/>
          <w:caps/>
          <w:noProof/>
          <w:color w:val="000000"/>
          <w:highlight w:val="yellow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44CBBEAB" wp14:editId="575E777E">
            <wp:simplePos x="0" y="0"/>
            <wp:positionH relativeFrom="column">
              <wp:posOffset>2853690</wp:posOffset>
            </wp:positionH>
            <wp:positionV relativeFrom="paragraph">
              <wp:posOffset>-501015</wp:posOffset>
            </wp:positionV>
            <wp:extent cx="421005" cy="611505"/>
            <wp:effectExtent l="0" t="0" r="0" b="0"/>
            <wp:wrapNone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AA1B84" w:rsidRDefault="00AA1B84">
      <w:pPr>
        <w:pStyle w:val="Iacaaiea"/>
      </w:pPr>
    </w:p>
    <w:p w:rsidR="00AA1B84" w:rsidRDefault="005E18B0">
      <w:pPr>
        <w:pStyle w:val="1"/>
        <w:tabs>
          <w:tab w:val="left" w:pos="0"/>
        </w:tabs>
        <w:spacing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 w:rsidR="005E18B0" w:rsidRPr="005E18B0" w:rsidRDefault="005E18B0" w:rsidP="005E18B0">
      <w:pPr>
        <w:pStyle w:val="a1"/>
      </w:pPr>
    </w:p>
    <w:p w:rsidR="00AA1B84" w:rsidRDefault="005E18B0">
      <w:pPr>
        <w:pStyle w:val="a1"/>
        <w:spacing w:after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 w:rsidR="005E18B0" w:rsidRDefault="005E18B0">
      <w:pPr>
        <w:pStyle w:val="a1"/>
        <w:spacing w:after="0"/>
        <w:jc w:val="center"/>
      </w:pPr>
    </w:p>
    <w:p w:rsidR="00AA1B84" w:rsidRDefault="005E18B0">
      <w:pPr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 </w:t>
      </w:r>
      <w:r>
        <w:rPr>
          <w:rFonts w:cs="Times New Roman"/>
          <w:b/>
          <w:bCs/>
          <w:color w:val="000000"/>
          <w:lang w:val="en-US"/>
        </w:rPr>
        <w:t xml:space="preserve">LXXXI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 w:rsidR="005E18B0" w:rsidRDefault="005E18B0">
      <w:pPr>
        <w:jc w:val="center"/>
      </w:pPr>
    </w:p>
    <w:p w:rsidR="00AA1B84" w:rsidRDefault="005E18B0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 w:rsidR="00AA1B84" w:rsidRDefault="00AA1B84">
      <w:pPr>
        <w:rPr>
          <w:rFonts w:cs="Times New Roman"/>
          <w:b/>
          <w:bCs/>
          <w:caps/>
          <w:color w:val="000000"/>
        </w:rPr>
      </w:pPr>
    </w:p>
    <w:p w:rsidR="00AA1B84" w:rsidRPr="006B215B" w:rsidRDefault="005E18B0">
      <w:pPr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uk-UA"/>
        </w:rPr>
        <w:t xml:space="preserve">03 квітня </w:t>
      </w:r>
      <w:r>
        <w:rPr>
          <w:rFonts w:cs="Times New Roman"/>
          <w:b/>
          <w:bCs/>
          <w:iCs/>
        </w:rPr>
        <w:t>202</w:t>
      </w:r>
      <w:r>
        <w:rPr>
          <w:rFonts w:cs="Times New Roman"/>
          <w:b/>
          <w:bCs/>
          <w:iCs/>
          <w:lang w:val="uk-UA"/>
        </w:rPr>
        <w:t>5</w:t>
      </w:r>
      <w:r>
        <w:rPr>
          <w:rFonts w:cs="Times New Roman"/>
          <w:b/>
          <w:bCs/>
          <w:iCs/>
        </w:rPr>
        <w:t xml:space="preserve"> </w:t>
      </w:r>
      <w:proofErr w:type="spellStart"/>
      <w:r>
        <w:rPr>
          <w:rFonts w:cs="Times New Roman"/>
          <w:b/>
          <w:bCs/>
          <w:iCs/>
        </w:rPr>
        <w:t>року</w:t>
      </w:r>
      <w:proofErr w:type="spellEnd"/>
      <w:r>
        <w:rPr>
          <w:rFonts w:cs="Times New Roman"/>
          <w:b/>
          <w:bCs/>
          <w:iCs/>
        </w:rPr>
        <w:t xml:space="preserve">                                      </w:t>
      </w:r>
      <w:r>
        <w:rPr>
          <w:rFonts w:cs="Times New Roman"/>
          <w:b/>
          <w:bCs/>
          <w:iCs/>
          <w:lang w:val="uk-UA"/>
        </w:rPr>
        <w:t xml:space="preserve">м. </w:t>
      </w:r>
      <w:proofErr w:type="spellStart"/>
      <w:r>
        <w:rPr>
          <w:rFonts w:cs="Times New Roman"/>
          <w:b/>
          <w:bCs/>
          <w:iCs/>
        </w:rPr>
        <w:t>Зміїв</w:t>
      </w:r>
      <w:proofErr w:type="spellEnd"/>
      <w:r>
        <w:rPr>
          <w:rFonts w:cs="Times New Roman"/>
          <w:b/>
          <w:bCs/>
          <w:iCs/>
        </w:rPr>
        <w:t xml:space="preserve">                                   № </w:t>
      </w:r>
      <w:r>
        <w:rPr>
          <w:rFonts w:cs="Times New Roman"/>
          <w:b/>
          <w:bCs/>
          <w:iCs/>
          <w:lang w:val="uk-UA"/>
        </w:rPr>
        <w:t>4409-</w:t>
      </w:r>
      <w:r>
        <w:rPr>
          <w:rFonts w:cs="Times New Roman"/>
          <w:b/>
          <w:bCs/>
          <w:iCs/>
          <w:lang w:val="en-US"/>
        </w:rPr>
        <w:t>LXXXI</w:t>
      </w:r>
      <w:r w:rsidRPr="005E18B0">
        <w:rPr>
          <w:rFonts w:cs="Times New Roman"/>
          <w:b/>
          <w:bCs/>
          <w:iCs/>
          <w:lang w:val="ru-RU"/>
        </w:rPr>
        <w:t>-</w:t>
      </w:r>
      <w:r>
        <w:rPr>
          <w:rFonts w:cs="Times New Roman"/>
          <w:b/>
          <w:bCs/>
          <w:iCs/>
          <w:lang w:val="en-US"/>
        </w:rPr>
        <w:t>VIII</w:t>
      </w:r>
    </w:p>
    <w:p w:rsidR="005E18B0" w:rsidRPr="005E18B0" w:rsidRDefault="005E18B0">
      <w:pPr>
        <w:rPr>
          <w:rFonts w:cs="Times New Roman"/>
          <w:b/>
          <w:bCs/>
          <w:iCs/>
          <w:lang w:val="ru-RU"/>
        </w:rPr>
      </w:pPr>
    </w:p>
    <w:p w:rsidR="00AA1B84" w:rsidRDefault="00AA1B84">
      <w:pPr>
        <w:rPr>
          <w:rFonts w:cs="Times New Roman"/>
          <w:b/>
          <w:bCs/>
          <w:iCs/>
        </w:rPr>
      </w:pPr>
    </w:p>
    <w:p w:rsidR="00AA1B84" w:rsidRDefault="005E18B0" w:rsidP="005E18B0">
      <w:pPr>
        <w:ind w:right="4536"/>
        <w:jc w:val="both"/>
      </w:pPr>
      <w:proofErr w:type="spellStart"/>
      <w:r>
        <w:rPr>
          <w:rFonts w:cs="Times New Roman"/>
          <w:b/>
          <w:bCs/>
          <w:iCs/>
        </w:rPr>
        <w:t>Про</w:t>
      </w:r>
      <w:proofErr w:type="spellEnd"/>
      <w:r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  <w:lang w:val="uk-UA"/>
        </w:rPr>
        <w:t xml:space="preserve">внесення змін до Програми розвитку земельних відносин та охорони земель </w:t>
      </w:r>
      <w:proofErr w:type="spellStart"/>
      <w:r>
        <w:rPr>
          <w:rFonts w:cs="Times New Roman"/>
          <w:b/>
          <w:bCs/>
          <w:iCs/>
          <w:lang w:val="uk-UA"/>
        </w:rPr>
        <w:t>Зміївської</w:t>
      </w:r>
      <w:proofErr w:type="spellEnd"/>
      <w:r>
        <w:rPr>
          <w:rFonts w:cs="Times New Roman"/>
          <w:b/>
          <w:bCs/>
          <w:iCs/>
          <w:lang w:val="uk-UA"/>
        </w:rPr>
        <w:t xml:space="preserve"> територіальної громади на 2025 рік, затвердженої рішенням LХХVI</w:t>
      </w:r>
      <w:r w:rsidRPr="005E18B0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  <w:lang w:val="uk-UA"/>
        </w:rPr>
        <w:t xml:space="preserve">сесії </w:t>
      </w:r>
      <w:proofErr w:type="spellStart"/>
      <w:r>
        <w:rPr>
          <w:rFonts w:cs="Times New Roman"/>
          <w:b/>
          <w:bCs/>
          <w:iCs/>
          <w:lang w:val="uk-UA"/>
        </w:rPr>
        <w:t>Зміївської</w:t>
      </w:r>
      <w:proofErr w:type="spellEnd"/>
      <w:r>
        <w:rPr>
          <w:rFonts w:cs="Times New Roman"/>
          <w:b/>
          <w:bCs/>
          <w:iCs/>
          <w:lang w:val="uk-UA"/>
        </w:rPr>
        <w:t xml:space="preserve"> міської ради </w:t>
      </w:r>
      <w:r w:rsidRPr="005E18B0">
        <w:rPr>
          <w:rFonts w:cs="Times New Roman"/>
          <w:b/>
          <w:bCs/>
          <w:iCs/>
        </w:rPr>
        <w:t xml:space="preserve">VIII </w:t>
      </w:r>
      <w:r>
        <w:rPr>
          <w:rFonts w:cs="Times New Roman"/>
          <w:b/>
          <w:bCs/>
          <w:iCs/>
          <w:lang w:val="uk-UA"/>
        </w:rPr>
        <w:t xml:space="preserve">скликання від 24 грудня 2024 року №4205- LХХVI- </w:t>
      </w:r>
      <w:r w:rsidRPr="005E18B0">
        <w:rPr>
          <w:rFonts w:cs="Times New Roman"/>
          <w:b/>
          <w:bCs/>
          <w:iCs/>
        </w:rPr>
        <w:t>VIII</w:t>
      </w:r>
    </w:p>
    <w:p w:rsidR="00AA1B84" w:rsidRDefault="00AA1B84">
      <w:pPr>
        <w:ind w:right="4815"/>
        <w:jc w:val="both"/>
        <w:rPr>
          <w:rFonts w:cs="Times New Roman"/>
          <w:b/>
          <w:bCs/>
          <w:iCs/>
          <w:lang w:val="uk-UA"/>
        </w:rPr>
      </w:pPr>
    </w:p>
    <w:p w:rsidR="00AA1B84" w:rsidRDefault="005E18B0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Відповідно до Закону України “Про місцеве самоврядування”, розглянувши Програму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 рік, затверджену рішенням LХХVI</w:t>
      </w:r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24 грудня 2024 року №</w:t>
      </w:r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4205-LХХVI-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 xml:space="preserve">, враховуючи </w:t>
      </w:r>
      <w:r w:rsidRPr="005E18B0">
        <w:rPr>
          <w:rFonts w:eastAsia="Times New Roman" w:cs="Times New Roman"/>
          <w:iCs/>
          <w:color w:val="000000"/>
          <w:lang w:val="uk-UA" w:bidi="ar-SA"/>
        </w:rPr>
        <w:t>рекомендації постійної комісії з питань містобудування, будівництва, розвитку інфраструктури, зем</w:t>
      </w:r>
      <w:r>
        <w:rPr>
          <w:rFonts w:eastAsia="Times New Roman" w:cs="Times New Roman"/>
          <w:iCs/>
          <w:color w:val="000000"/>
          <w:lang w:val="uk-UA" w:bidi="ar-SA"/>
        </w:rPr>
        <w:t xml:space="preserve">ельних відносин, </w:t>
      </w:r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природокористування та аграрної політики </w:t>
      </w:r>
      <w:proofErr w:type="spellStart"/>
      <w:r w:rsidRPr="005E18B0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 міської ради (витяг з</w:t>
      </w:r>
      <w:r>
        <w:rPr>
          <w:rFonts w:eastAsia="Times New Roman" w:cs="Times New Roman"/>
          <w:iCs/>
          <w:color w:val="000000"/>
          <w:lang w:val="uk-UA" w:bidi="ar-SA"/>
        </w:rPr>
        <w:t xml:space="preserve"> протоколу № 68 </w:t>
      </w:r>
      <w:r w:rsidRPr="005E18B0">
        <w:rPr>
          <w:rFonts w:eastAsia="Times New Roman" w:cs="Times New Roman"/>
          <w:iCs/>
          <w:color w:val="000000"/>
          <w:lang w:val="uk-UA" w:bidi="ar-SA"/>
        </w:rPr>
        <w:t>засідання постійної комісії від</w:t>
      </w:r>
      <w:r>
        <w:rPr>
          <w:rFonts w:eastAsia="Times New Roman" w:cs="Times New Roman"/>
          <w:iCs/>
          <w:color w:val="000000"/>
          <w:lang w:val="uk-UA" w:bidi="ar-SA"/>
        </w:rPr>
        <w:t xml:space="preserve"> 03</w:t>
      </w:r>
      <w:r w:rsidRPr="005E18B0">
        <w:rPr>
          <w:rFonts w:eastAsia="Times New Roman" w:cs="Times New Roman"/>
          <w:iCs/>
          <w:color w:val="000000"/>
          <w:lang w:val="uk-UA" w:bidi="ar-SA"/>
        </w:rPr>
        <w:t xml:space="preserve"> квітня 2025 року)</w:t>
      </w:r>
      <w:r>
        <w:rPr>
          <w:rFonts w:eastAsia="Times New Roman" w:cs="Times New Roman"/>
          <w:iCs/>
          <w:color w:val="000000"/>
          <w:lang w:val="uk-UA" w:bidi="ar-SA"/>
        </w:rPr>
        <w:t>,  Зміївська міська рада</w:t>
      </w:r>
    </w:p>
    <w:p w:rsidR="00AA1B84" w:rsidRDefault="00AA1B84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AA1B84" w:rsidRDefault="005E18B0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ВИРІШИЛА:</w:t>
      </w:r>
    </w:p>
    <w:p w:rsidR="00AA1B84" w:rsidRDefault="005E18B0">
      <w:pPr>
        <w:ind w:left="50"/>
        <w:rPr>
          <w:rFonts w:cs="Times New Roman"/>
          <w:iCs/>
        </w:rPr>
      </w:pPr>
      <w:r>
        <w:rPr>
          <w:rFonts w:cs="Times New Roman"/>
          <w:iCs/>
        </w:rPr>
        <w:t xml:space="preserve"> </w:t>
      </w:r>
    </w:p>
    <w:p w:rsidR="00AA1B84" w:rsidRDefault="005E18B0" w:rsidP="005E18B0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Внести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зміни п.4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 рік, затверджену рішенням LХХVI</w:t>
      </w:r>
      <w:r w:rsidRPr="005E18B0">
        <w:rPr>
          <w:rFonts w:eastAsia="Times New Roman" w:cs="Times New Roman"/>
          <w:iCs/>
          <w:color w:val="000000"/>
          <w:lang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 w:rsidRPr="005E18B0">
        <w:rPr>
          <w:rFonts w:eastAsia="Times New Roman" w:cs="Times New Roman"/>
          <w:iCs/>
          <w:color w:val="000000"/>
          <w:lang w:bidi="ar-SA"/>
        </w:rPr>
        <w:t xml:space="preserve">VIII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скликання від 24 грудня 2024 року №4205-LХХVI- </w:t>
      </w:r>
      <w:r w:rsidRPr="005E18B0">
        <w:rPr>
          <w:rFonts w:eastAsia="Times New Roman" w:cs="Times New Roman"/>
          <w:iCs/>
          <w:color w:val="000000"/>
          <w:lang w:bidi="ar-SA"/>
        </w:rPr>
        <w:t>VIII “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 затвердження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2025рік</w:t>
      </w:r>
      <w:r w:rsidRPr="005E18B0">
        <w:rPr>
          <w:rFonts w:eastAsia="Times New Roman" w:cs="Times New Roman"/>
          <w:iCs/>
          <w:color w:val="000000"/>
          <w:lang w:bidi="ar-SA"/>
        </w:rPr>
        <w:t xml:space="preserve">”, </w:t>
      </w:r>
      <w:r>
        <w:rPr>
          <w:rFonts w:eastAsia="Times New Roman" w:cs="Times New Roman"/>
          <w:iCs/>
          <w:color w:val="000000"/>
          <w:lang w:val="uk-UA" w:bidi="ar-SA"/>
        </w:rPr>
        <w:t>виклавши п. 1,</w:t>
      </w:r>
      <w:r w:rsidRPr="005E18B0">
        <w:rPr>
          <w:rFonts w:eastAsia="Times New Roman" w:cs="Times New Roman"/>
          <w:iCs/>
          <w:color w:val="000000"/>
          <w:lang w:bidi="ar-SA"/>
        </w:rPr>
        <w:t>2, 3</w:t>
      </w:r>
      <w:r>
        <w:rPr>
          <w:rFonts w:eastAsia="Times New Roman" w:cs="Times New Roman"/>
          <w:iCs/>
          <w:color w:val="000000"/>
          <w:lang w:val="uk-UA" w:bidi="ar-SA"/>
        </w:rPr>
        <w:t xml:space="preserve"> загальних обсягів фінансування заходів Програми в новій редакції, а саме: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3999"/>
        <w:gridCol w:w="3294"/>
        <w:gridCol w:w="1527"/>
      </w:tblGrid>
      <w:tr w:rsidR="00AA1B84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AA1B84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за розробку технічної документації з нормативної грошової оцінки земель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Міський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1989000</w:t>
            </w:r>
          </w:p>
        </w:tc>
      </w:tr>
      <w:tr w:rsidR="00AA1B84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</w:t>
            </w:r>
            <w:r w:rsidR="006B215B">
              <w:rPr>
                <w:rFonts w:eastAsia="Times New Roman" w:cs="Times New Roman"/>
                <w:lang w:val="uk-UA"/>
              </w:rPr>
              <w:t xml:space="preserve"> розробки </w:t>
            </w:r>
            <w:r>
              <w:rPr>
                <w:rFonts w:eastAsia="Times New Roman" w:cs="Times New Roman"/>
                <w:lang w:val="uk-UA"/>
              </w:rPr>
              <w:t>технічної документації із землеустрою щодо інвентаризації земельної ділянки з</w:t>
            </w:r>
            <w:r w:rsidR="006B215B">
              <w:rPr>
                <w:rFonts w:eastAsia="Times New Roman" w:cs="Times New Roman"/>
                <w:lang w:val="uk-UA"/>
              </w:rPr>
              <w:t>агального користування відведеної</w:t>
            </w:r>
            <w:r>
              <w:rPr>
                <w:rFonts w:eastAsia="Times New Roman" w:cs="Times New Roman"/>
                <w:lang w:val="uk-UA"/>
              </w:rPr>
              <w:t xml:space="preserve"> під місця поховання (код КВЦПЗ — 07.09), орієнтовною площею 3,2160 га, що розташована по вул. Пересічній, б/н, м. Зміїв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Міський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20000</w:t>
            </w:r>
          </w:p>
        </w:tc>
      </w:tr>
      <w:tr w:rsidR="00AA1B84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6B215B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</w:t>
            </w:r>
            <w:r w:rsidR="005E18B0">
              <w:rPr>
                <w:rFonts w:eastAsia="Times New Roman" w:cs="Times New Roman"/>
                <w:lang w:val="uk-UA"/>
              </w:rPr>
              <w:t xml:space="preserve">технічної документації із землеустрою щодо </w:t>
            </w:r>
            <w:r w:rsidR="005E18B0">
              <w:rPr>
                <w:rFonts w:eastAsia="Times New Roman" w:cs="Times New Roman"/>
                <w:lang w:val="uk-UA"/>
              </w:rPr>
              <w:lastRenderedPageBreak/>
              <w:t>інвентаризації земельної ділянки з</w:t>
            </w:r>
            <w:r>
              <w:rPr>
                <w:rFonts w:eastAsia="Times New Roman" w:cs="Times New Roman"/>
                <w:lang w:val="uk-UA"/>
              </w:rPr>
              <w:t>агального користування відведеної</w:t>
            </w:r>
            <w:r w:rsidR="005E18B0">
              <w:rPr>
                <w:rFonts w:eastAsia="Times New Roman" w:cs="Times New Roman"/>
                <w:lang w:val="uk-UA"/>
              </w:rPr>
              <w:t xml:space="preserve"> під місця поховання (код КВЦПЗ — 07.09), орієнтовною площею 5,2440 га, що розташована по вул. Зоряній, м. Зміїв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1B84" w:rsidRDefault="005E18B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20500</w:t>
            </w:r>
          </w:p>
        </w:tc>
      </w:tr>
    </w:tbl>
    <w:p w:rsidR="00AA1B84" w:rsidRDefault="00AA1B84">
      <w:pPr>
        <w:ind w:left="720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AA1B84" w:rsidRDefault="005E18B0">
      <w:pPr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       </w:t>
      </w:r>
    </w:p>
    <w:p w:rsidR="00AA1B84" w:rsidRDefault="005E18B0" w:rsidP="005E18B0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</w:pPr>
      <w:proofErr w:type="spellStart"/>
      <w:r>
        <w:rPr>
          <w:rFonts w:cs="Times New Roman"/>
          <w:iCs/>
        </w:rPr>
        <w:t>Контроль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</w:t>
      </w:r>
      <w:bookmarkStart w:id="0" w:name="_GoBack"/>
      <w:bookmarkEnd w:id="0"/>
      <w:r>
        <w:rPr>
          <w:rFonts w:cs="Times New Roman"/>
          <w:iCs/>
        </w:rPr>
        <w:t>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на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з </w:t>
      </w:r>
      <w:proofErr w:type="spellStart"/>
      <w:r>
        <w:rPr>
          <w:rFonts w:cs="Times New Roman"/>
          <w:iCs/>
        </w:rPr>
        <w:t>питань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містобудування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будівництва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розвитку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інфраструктури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земельних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відносин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природокористування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та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аграрної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ради</w:t>
      </w:r>
      <w:proofErr w:type="spellEnd"/>
      <w:r>
        <w:rPr>
          <w:rFonts w:cs="Times New Roman"/>
          <w:iCs/>
        </w:rPr>
        <w:t xml:space="preserve">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AA1B84" w:rsidRDefault="00AA1B84">
      <w:pPr>
        <w:rPr>
          <w:rFonts w:cs="Times New Roman"/>
          <w:b/>
          <w:bCs/>
          <w:iCs/>
        </w:rPr>
      </w:pPr>
    </w:p>
    <w:p w:rsidR="005E18B0" w:rsidRDefault="005E18B0">
      <w:pPr>
        <w:jc w:val="center"/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</w:p>
    <w:p w:rsidR="005E18B0" w:rsidRDefault="005E18B0">
      <w:pPr>
        <w:jc w:val="center"/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</w:p>
    <w:p w:rsidR="005E18B0" w:rsidRDefault="005E18B0">
      <w:pPr>
        <w:jc w:val="center"/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</w:p>
    <w:p w:rsidR="00AA1B84" w:rsidRDefault="005E18B0">
      <w:pPr>
        <w:jc w:val="center"/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>Міський голова                                                                          Павло ГОЛОДНІКОВ</w:t>
      </w:r>
    </w:p>
    <w:p w:rsidR="00AA1B84" w:rsidRDefault="00AA1B84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AA1B84" w:rsidRDefault="005E18B0">
      <w:pPr>
        <w:ind w:left="5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AA1B84" w:rsidRDefault="005E18B0">
      <w:pPr>
        <w:rPr>
          <w:lang w:val="uk-UA"/>
        </w:rPr>
      </w:pPr>
      <w:r>
        <w:rPr>
          <w:lang w:val="uk-UA"/>
        </w:rPr>
        <w:t xml:space="preserve">      </w:t>
      </w:r>
    </w:p>
    <w:p w:rsidR="00AA1B84" w:rsidRDefault="005E18B0">
      <w:pPr>
        <w:rPr>
          <w:lang w:val="uk-UA"/>
        </w:rPr>
      </w:pPr>
      <w:r>
        <w:rPr>
          <w:lang w:val="uk-UA"/>
        </w:rPr>
        <w:t xml:space="preserve">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AA1B84" w:rsidRDefault="005E18B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AA1B84" w:rsidRDefault="005E18B0">
      <w:pPr>
        <w:jc w:val="both"/>
      </w:pPr>
      <w:r>
        <w:rPr>
          <w:rFonts w:cs="Times New Roman"/>
          <w:iCs/>
          <w:lang w:val="uk-UA"/>
        </w:rPr>
        <w:t xml:space="preserve">                           </w:t>
      </w:r>
      <w:r>
        <w:rPr>
          <w:lang w:val="uk-UA"/>
        </w:rPr>
        <w:t xml:space="preserve">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</w:t>
      </w:r>
    </w:p>
    <w:p w:rsidR="00AA1B84" w:rsidRDefault="005E18B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AA1B84" w:rsidRDefault="00AA1B84">
      <w:pPr>
        <w:jc w:val="both"/>
        <w:rPr>
          <w:lang w:val="uk-UA"/>
        </w:rPr>
      </w:pP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</w:t>
      </w:r>
    </w:p>
    <w:p w:rsidR="00AA1B84" w:rsidRDefault="00AA1B84">
      <w:pPr>
        <w:jc w:val="both"/>
        <w:rPr>
          <w:rFonts w:cs="Times New Roman"/>
          <w:iCs/>
          <w:lang w:val="uk-UA"/>
        </w:rPr>
      </w:pP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AA1B84" w:rsidRDefault="00AA1B84">
      <w:pPr>
        <w:jc w:val="both"/>
        <w:rPr>
          <w:rFonts w:cs="Times New Roman"/>
          <w:iCs/>
          <w:lang w:val="uk-UA"/>
        </w:rPr>
      </w:pP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AA1B84" w:rsidRDefault="005E18B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AA1B84" w:rsidRDefault="005E18B0">
      <w:pPr>
        <w:ind w:right="423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AA1B84" w:rsidRDefault="00AA1B84">
      <w:pPr>
        <w:jc w:val="both"/>
        <w:rPr>
          <w:rFonts w:cs="Times New Roman"/>
          <w:iCs/>
          <w:lang w:val="uk-UA"/>
        </w:rPr>
      </w:pPr>
    </w:p>
    <w:p w:rsidR="00AA1B84" w:rsidRDefault="00AA1B84">
      <w:pPr>
        <w:rPr>
          <w:rFonts w:cs="Times New Roman"/>
          <w:iCs/>
          <w:lang w:val="uk-UA"/>
        </w:rPr>
      </w:pPr>
    </w:p>
    <w:p w:rsidR="00AA1B84" w:rsidRDefault="00AA1B84">
      <w:pPr>
        <w:rPr>
          <w:rFonts w:cs="Times New Roman"/>
          <w:iCs/>
          <w:lang w:val="uk-UA"/>
        </w:rPr>
      </w:pPr>
    </w:p>
    <w:p w:rsidR="00AA1B84" w:rsidRDefault="005E18B0">
      <w:pPr>
        <w:ind w:left="33"/>
        <w:rPr>
          <w:rFonts w:cs="Times New Roman"/>
          <w:iCs/>
        </w:rPr>
      </w:pPr>
      <w:r>
        <w:rPr>
          <w:rFonts w:cs="Times New Roman"/>
          <w:iCs/>
        </w:rPr>
        <w:t xml:space="preserve">  </w:t>
      </w:r>
    </w:p>
    <w:p w:rsidR="00AA1B84" w:rsidRDefault="00AA1B84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AA1B84" w:rsidRDefault="00AA1B84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AA1B84" w:rsidRDefault="00AA1B84">
      <w:pPr>
        <w:widowControl/>
        <w:tabs>
          <w:tab w:val="left" w:pos="10235"/>
        </w:tabs>
        <w:suppressAutoHyphens w:val="0"/>
        <w:autoSpaceDE w:val="0"/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sectPr w:rsidR="00AA1B84" w:rsidSect="005E18B0">
      <w:pgSz w:w="11905" w:h="16837"/>
      <w:pgMar w:top="1134" w:right="565" w:bottom="61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307"/>
    <w:multiLevelType w:val="multilevel"/>
    <w:tmpl w:val="FC5A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0AF3E61"/>
    <w:multiLevelType w:val="multilevel"/>
    <w:tmpl w:val="BF580BD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AA1B84"/>
    <w:rsid w:val="005E18B0"/>
    <w:rsid w:val="006B215B"/>
    <w:rsid w:val="00A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4976"/>
  <w15:docId w15:val="{D54ADBDE-1532-4806-BFD0-C55E1C5F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55</cp:revision>
  <cp:lastPrinted>2025-02-12T14:07:00Z</cp:lastPrinted>
  <dcterms:created xsi:type="dcterms:W3CDTF">2020-12-22T07:42:00Z</dcterms:created>
  <dcterms:modified xsi:type="dcterms:W3CDTF">2025-04-07T10:21:00Z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