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№4811-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проведення експертної грошової оцінки земельної ділянки несільськогосподарського призначення для продажу у власність                         гр. Мікаєляну С. С. для будівництва та               обслуговування будівель торгівлі, що                   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гр. Мікаєляна Самвєла Сумбатовича, реєстраційний номер                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проведення Зміївською міською радою експертної грошової оцінки земельної ділянки несільськогосподарського призначення для продажу у власність гр. Мікаєляну С. С.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на підставі письмової згоди на укладання договору про оплату авансового внеску, враховуючи договір оренди земельної ділянки від 07.07.2025 року, витяг з Державного земельного кадастру про земельну ділянку № НВ-0001636552025 від 14.08.2025 року, що зареєстрована Зміївським районним  відділом ХРФ ДП Центру ДЗК, витяг №НВ-9916358182025 із технічної документації з нормативної грошової оцінки земельних ділянок від 27.01.2025 року, рекомендації постійної комісії з питань містобудування, будівництва, розвитку інфраструктури, земельних відносин,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ст.12, 127, 128 Земельного кодексу України, ст. 13, 15,21 Закону України “Про оцінку земель”, ст. 14       Конституції України, ст. 26 Закону України “Про місцеве самоврядування в Україні”,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lang w:val="uk-UA" w:bidi="ar-SA"/>
        </w:rPr>
        <w:t xml:space="preserve">1. Зміївській міській раді провести експертну грошову оцінку земельної ділянки                  несільськогосподарського призначення площею 0,3690 га, кадастровий номер 6321710100:01:012:0047, для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 xml:space="preserve">будівництва та обслуговування будівель торгівлі (код згідно із КВЦПЗ - 03.07), що розташована за адресою: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>,</w:t>
      </w:r>
      <w:r>
        <w:rPr>
          <w:rFonts w:eastAsia="Times New Roman" w:cs="Times New Roman"/>
          <w:color w:val="000000"/>
          <w:lang w:val="uk-UA" w:bidi="ar-SA"/>
        </w:rPr>
        <w:t xml:space="preserve"> з метою продажу у власність гр.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Мікаєляну Самвєлу Сумбатовичу,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Х.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2. Уповноважити міського голову Голоднікова Павла Вікторовича від імені Зміївської міської ради укласти з гр.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Мікаєляном Самвєлом Сумбатовичем</w:t>
      </w:r>
      <w:r>
        <w:rPr>
          <w:rFonts w:eastAsia="Times New Roman" w:cs="Times New Roman"/>
          <w:color w:val="000000"/>
          <w:lang w:val="uk-UA" w:bidi="ar-SA"/>
        </w:rPr>
        <w:t xml:space="preserve"> договір про оплату                          авансового внеску в рахунок оплати ціни земельної ділянки, що становить 3% вартості даної ділянки, визначеної за нормативною грошовою оцінкою та виступити замовником                    проведення експертної грошової оцінки земельної ділянки.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3. Розроблений Звіт про експертну грошову оцінку, погоджений згідно вимог                  Земельного кодексу України, подати на розгляд до міської ради.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color w:val="000000"/>
          <w:sz w:val="24"/>
          <w:szCs w:val="24"/>
          <w:lang w:val="uk-UA" w:bidi="ar-SA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color w:val="000000"/>
          <w:lang w:val="uk-UA" w:bidi="ar-SA"/>
        </w:rPr>
      </w:pPr>
      <w:r>
        <w:rPr>
          <w:rFonts w:eastAsia="Times New Roman" w:ascii="Times New Roman" w:hAnsi="Times New Roman"/>
          <w:color w:val="000000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Application>LibreOffice/5.1.6.2$Linux_X86_64 LibreOffice_project/10m0$Build-2</Application>
  <Pages>2</Pages>
  <Words>382</Words>
  <Characters>2618</Characters>
  <CharactersWithSpaces>3341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2025-09-16T16:13:19Z</cp:lastPrinted>
  <dcterms:modified xsi:type="dcterms:W3CDTF">2025-09-17T10:37:36Z</dcterms:modified>
  <cp:revision>445</cp:revision>
  <dc:subject/>
  <dc:title/>
</cp:coreProperties>
</file>