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>16</w:t>
      </w:r>
      <w:r>
        <w:rPr>
          <w:rFonts w:cs="Times New Roman"/>
          <w:b/>
          <w:bCs/>
          <w:sz w:val="24"/>
          <w:szCs w:val="24"/>
          <w:lang w:val="uk-UA"/>
        </w:rPr>
        <w:t xml:space="preserve"> вересня 2025 року                                   м. Зміїв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4809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160"/>
        <w:ind w:right="5103" w:hanging="0"/>
        <w:jc w:val="both"/>
        <w:rPr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spacing w:val="0"/>
          <w:w w:val="100"/>
          <w:position w:val="0"/>
          <w:sz w:val="24"/>
          <w:sz w:val="24"/>
          <w:highlight w:val="white"/>
          <w:u w:val="none"/>
          <w:vertAlign w:val="baseline"/>
          <w:em w:val="none"/>
          <w:lang w:eastAsia="zh-CN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spacing w:val="0"/>
          <w:w w:val="100"/>
          <w:position w:val="0"/>
          <w:sz w:val="24"/>
          <w:sz w:val="24"/>
          <w:highlight w:val="white"/>
          <w:u w:val="none"/>
          <w:vertAlign w:val="baseline"/>
          <w:em w:val="none"/>
          <w:lang w:eastAsia="zh-CN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280" w:after="0"/>
        <w:ind w:left="0" w:right="4815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Про затвердження технічної документації із землеустрою щодо інвентаризації земельної ділянки загального користування відведеної під місця поховання, розташованої по вул. Пересічній, м. Зміїв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Розглянувши доповідну записку начальника відділу земельних відносин та                      землевпорядкування Зміївської міської ради Юрія КУХТІНА про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затвердження технічної документації із землеустрою щодо інвентаризації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 земельної ділянки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загального                      користування відведен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ої під місця поховання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орієнтовною площею 3,2160 га,    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розташован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ої по вул.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Пересічній,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м. Зміїв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технічну документацію із                       землеустрою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розроблен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 ТОВ “Всеукраїнське підприємство - БТІ,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Архітектури та                    З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емлевпорядкування”,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Витяг з Державного земельного кадастру про земельну ділянку  номер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210073247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2025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08.08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.2025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що зареєстрована Відділом 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державної політики у сфері земельних відносин Головного управління Держгеокадастру у Закарпатській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             протоколу № 73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15 вересня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ідповідно до                    ст.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ідповідно до ст. 79-1, 110, 186 Земельного кодексу України, ст. 25, 57 Закону України “Про землеустрій”, </w:t>
      </w:r>
      <w:r>
        <w:rPr>
          <w:rStyle w:val="Style20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ru-RU" w:bidi="zxx"/>
        </w:rPr>
        <w:t>постанови Кабінету Міністрів України від 05.06.2019 року №476 «Про затвердження Порядку проведення інвентаризації земель та визнання такими, що втратили чинність, деяких постанов Кабінету Міністрів України»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3"/>
        <w:spacing w:before="0" w:after="160"/>
        <w:ind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1. Затвердити технічну документацію із землеустрою щодо інвентаризації земельної ділянки загального користування відведеної під місця поховання (код КВЦПЗ - 07.09), орієнтовною площею 3,2160 га, розташованої по ул. Пересічній, б\н, м. Зміїв, Чугуївський район, Харківська область. Замовник: Зміївська міська рада.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2. На земельній ділянці кадастровий номер 6321710100:02:001:0263, згідно Порядку ведення Державного земельного кадастру, затвердженого постановою Кабінету Міністрів України від 17.10.2012 року №1051, встановлено обмеження у використанні земельної ділянки: охоронна зона навколо (уздовж) об’єкта енергетичної системи, площею 0,0848 га.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3. Рекомендувати Зміївській міській раді, в особі Павла ГОЛОДНІКОВА, зареєструвати в Державному реєстрі речових прав на нерухоме майно право власності на земельну ділянку земель рекреаційного призначення Зміївської територіальної громади загальною площею 3,2160 га, кадастровий номер 6321710100:01:001:0263, вид цільового призначення земельної ділянки: земельні ділянки загального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к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ористування відведені під місця поховання (код КВЦПЗ - 07.09), що розташована по вул. Пересічній, м. Зміїв.</w:t>
      </w:r>
    </w:p>
    <w:p>
      <w:pPr>
        <w:pStyle w:val="Normal"/>
        <w:widowControl w:val="false"/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sz w:val="24"/>
          <w:szCs w:val="24"/>
        </w:rPr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 xml:space="preserve">4. Контроль за виконанням рішення покласти на постійну комісію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de-DE" w:eastAsia="ru-RU" w:bidi="zxx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4193</TotalTime>
  <Application>LibreOffice/5.1.6.2$Linux_X86_64 LibreOffice_project/10m0$Build-2</Application>
  <Pages>2</Pages>
  <Words>376</Words>
  <Characters>2758</Characters>
  <CharactersWithSpaces>3416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2025-09-16T16:07:38Z</cp:lastPrinted>
  <dcterms:modified xsi:type="dcterms:W3CDTF">2025-09-16T16:07:33Z</dcterms:modified>
  <cp:revision>440</cp:revision>
  <dc:subject/>
  <dc:title/>
</cp:coreProperties>
</file>