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№4744-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Терещенку І. М.  проекту землеустрою щодо відведення земельної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Терещенка Ігоря Миколайовича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проект землеустрою щодо відведення земельної ділянки, розроблений                                         ТОВ “Всеукраїнське підприємство -БТІ,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НВ-2100706042025 від 17.07.2025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Закарпатській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630135286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2025 із технічної документації з                         нормативної грошової оцінки земельних ділянок від 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1.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07.2025 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рекомендації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72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36, 122, 123, 124, 125, 126, 134, 186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    гр. Терещенку Ігорю Миколайовичу за рахунок земель комунальної власності Зміївської                  територіальної громади для городництва (код КВЦПЗ - 01.07), що розташована по                          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,Чугуївський район, Харківська область.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Терещенку Ігорю Миколайовичу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який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зареєстрований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6321785001:01:003:0211,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городництва (код КВЦПЗ - 01.07) за рахунок земель комунальної власності Зміївської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територіальної громади, площею 0,6000 га (сільськогосподарські землі - 0,6000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- 0,6000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Терещенку І. М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трикратного розміру земельного податку.</w:t>
      </w:r>
    </w:p>
    <w:p>
      <w:pPr>
        <w:pStyle w:val="Normal"/>
        <w:widowControl w:val="false"/>
        <w:tabs>
          <w:tab w:val="left" w:pos="568" w:leader="none"/>
        </w:tabs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6321785001:01:003:0211, що передається в оренду,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0,0718 га.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Терещенку І. М.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shd w:fill="FFFFFF" w:val="clear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Application>LibreOffice/5.1.6.2$Linux_X86_64 LibreOffice_project/10m0$Build-2</Application>
  <Pages>2</Pages>
  <Words>449</Words>
  <Characters>3003</Characters>
  <CharactersWithSpaces>3772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2025-08-08T08:59:55Z</cp:lastPrinted>
  <dcterms:modified xsi:type="dcterms:W3CDTF">2025-08-11T11:45:30Z</dcterms:modified>
  <cp:revision>460</cp:revision>
  <dc:subject/>
  <dc:title/>
</cp:coreProperties>
</file>