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4482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4819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Відділу культури, молоді, спорту та туризму Зміївської міської ради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проекту землеустрою щодо відведення земельної ділянки для будівництва та обслуговування будівель закладів культурно-просвітницького обслуговування (код КВЦПЗД - 03.05), що розташована по вул. Миру, 21-Д, с. Тимченки та передачу у постійне користування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заяву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начальника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Відділу культури, молоді, спорту та туризму                                 Зміївської міської ради Чугуївського району Харківської області Олега БІДУЛІНА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       ідентифікаційний код юридичної особи: 44047928, місцезнаходження юридичної особи: 63404, Харківської обл., м. Зміїв, Соборний майдан, буд. 8,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про затвердження проекту землеустрою щодо відведення земельної ділянки для будівництва та обслуговування                   будівель закладів культурно-просвітницького обслуговування, що розташована по                      вул. Миру, 21-Д, с. Тимченки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та передачу у постійне користування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наданий проект землеустрою, виконаний ТОВ “Всеукраїнське підприємство - БТІ, Архітектури та Землевпорядкування”,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прав, індексний номер витягу: 401467491 від 30.10.2024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2963755163140), зареєстроване державним реєстратором Відділу реєстраційних послуг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витяг з Державного земельного кадастру про земельну ділянку                      № НВ-6100162312025 від 05.02.2025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Тернопільській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20,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38, 39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>79-1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333333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92, 122, 123, 125, 126, 186,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ч. 3, ст. 24 Закону України “Про регулювання                         містобудівної діяльності”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ст.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>Затвердити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проект землеустрою щодо відведення земельної ділянки в постійне користування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Відділ культури, молоді, спорту та туризму Зміївської міської ради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за рахунок земель комунальної власності Зміївської територіальної громади,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для будівництва та обслуговування будівель закладів культурно-просвітницького обслуговування (код КВЦПЗ - 03.05), що розташована по вул. Миру, 21-Д, с. Тимченки, Чугуївський район, Харківська область.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 xml:space="preserve">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 xml:space="preserve">Передати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Відділу культури, молоді, спорту та туризму Зміївської міської ради Чугуївського району Харківської області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>, ідентифікаційний код юридичної особи: 44047928, місцезнаходження юридичної особи: 63404, Харківської обл., м. Зміїв, Соборний майдан,   буд. 8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>, у постійне користування земельну ділянку, кадастровий номер 6321786201:01:003:0169, для будівництва та обслуговування будівель закладів культурно-просвітницького обслуговування (код КВЦПЗД - 03.05), площею 0,1363 га (забудовані землі - 0,1363 га, з них землі під соціально-культурними об’єктами - 0,1363 га), що розташована по вул. Миру, 21-Д, с. Тимченки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На земельній ділянці, кадастровий номер 6321786201:01:003:0169, що передається у постійне користування, згідно Порядку ведення Державного земельного кадастру, затвердженого постановою Кабінету Міністрів України від 17.10.2012 року № 1051, зареєстровано обмеження: охоронна зона навколо (уздовж) об’єкта енергетичної системи,  площею 0,0270 га.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 w:eastAsia="en-US" w:bidi="ar-SA"/>
        </w:rPr>
        <w:t>Ре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 xml:space="preserve">комендувати 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 xml:space="preserve">начальнику Відділу культури, молоді, спорту та туризму 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 xml:space="preserve">Зміївської міської ради зареєструвати право 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 xml:space="preserve">постійного користування 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>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Application>LibreOffice/5.1.6.2$Linux_X86_64 LibreOffice_project/10m0$Build-2</Application>
  <Pages>2</Pages>
  <Words>530</Words>
  <Characters>3795</Characters>
  <CharactersWithSpaces>4644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2025-04-04T08:28:50Z</cp:lastPrinted>
  <dcterms:modified xsi:type="dcterms:W3CDTF">2025-04-04T08:29:35Z</dcterms:modified>
  <cp:revision>375</cp:revision>
  <dc:subject/>
  <dc:title/>
</cp:coreProperties>
</file>