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№3718-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53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ru-RU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Терещенку І. М.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проекту землеустрою щодо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зміни цільового призначення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 земельної ділянки на цільове призначення “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д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ля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промисловості”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, що розташована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по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535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Терещенка Ігоря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роекту землеустрою щодо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зміни цільового призначення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ділянки з кадастрови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63217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85001:01:002:0155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“для будівництва і обслуговування житлового будинку, господарських будівель і споруд (присадибна ділянка)” на цільове призначення “д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”, розташован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ої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наданий проект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виконаний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 на нерухоме май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но про реєстрацію права власності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ін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дексний номер витягу: 208871217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13.05.2020 року (реєстраційний номер об`єкта нерухомого майна: 2071356263217), зареєстроване приватним нотаріусом Зміївського районного нотаріального округу, витяг з містобудівної документації - детального плану території в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району Харківської області, розробленого “Інститутом планування територій” у 2021 році, затвердженого рішенням Зміївської міської ради № 3551-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LXI-VIII LXI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VIII скликання від 11.04.2024 року, виданий відділом з питань містобудування та архітектури Зміївської міської ради 19.04.2024 року за №01-18/12,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зміни цільового призначення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земельної ділянки гр. Терещенк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а Ігоря Миколайовича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кадастровим номером: 6321785001:01:00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:0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155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будівництва і обслуговування житлового будинку, господарських будівель і споруд                    (присадибна ділянка)” на цільове призначення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”, розташованої за адресою: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Чугуївськ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ий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район, Харківськ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а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област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ь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6321785001:01:002:0155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0,2033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га, що розташована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за адресою:                        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36481143 від 13.05.2020 року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2071356263217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будівництва і обслуговування житлового будинку, господарських будівель і споруд (присадибна ділянка)”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02.01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 (вид угідь: 0,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2033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малоповерхова забудова) 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на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ля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11.02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землі під промисловою забудовою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Рекомендувати гр. </w:t>
      </w:r>
      <w:r>
        <w:rPr>
          <w:rFonts w:eastAsia="SimSu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Терещенку І. М.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>забезпечити внесення до Державного земельного кадастру відомостей про зміну цільового призначення земельної ділянки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 Зміївської міської ради (Андрій РЕВЕНКО).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Application>LibreOffice/5.1.6.2$Linux_X86_64 LibreOffice_project/10m0$Build-2</Application>
  <Pages>2</Pages>
  <Words>481</Words>
  <Characters>3418</Characters>
  <CharactersWithSpaces>4091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2024-06-06T15:13:01Z</cp:lastPrinted>
  <dcterms:modified xsi:type="dcterms:W3CDTF">2024-06-12T12:54:36Z</dcterms:modified>
  <cp:revision>228</cp:revision>
  <dc:subject/>
  <dc:title/>
</cp:coreProperties>
</file>