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№3711-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snapToGrid w:val="true"/>
        <w:spacing w:lineRule="auto" w:line="252" w:before="0" w:after="160"/>
        <w:ind w:left="0" w:right="408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розірвання договору оренди та припинення права користування гр. Дороганової В. В. земельною ділянкою для будівництва та                   обслуговування будівель торгівлі,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розірвання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 для будівництва та обслуговування будівель торгівлі, що                  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у зв'язку з закінченням строку дії договору,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18 серпня 2005 року,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18 серпня 2005 року за №040569100006,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єктів нерухомого майна щодо об'єкта нерухомого майна від 03.05.2023року (номер інформаційної довідки: 331003941),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uk-UA" w:eastAsia="en-US" w:bidi="ar-SA"/>
        </w:rPr>
        <w:t xml:space="preserve">п. “е” ст. 141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Земельного кодексу України, ст. 31, 32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 w:bidi="ar-SA"/>
        </w:rPr>
      </w:pPr>
      <w:r>
        <w:rPr>
          <w:rFonts w:eastAsia="Times New Roman" w:cs="Times New Roman"/>
          <w:b/>
          <w:bCs/>
          <w:color w:val="000000"/>
          <w:lang w:val="uk-UA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Розірвати договір оренди земельної ділянки житлової та громадської забудови комунальної власності Зміївської територіальної громади для будівництва та обслуговування будівель торгівлі (код КВЦПЗ 03.07), загальною площею 0,0015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укладений з Дорогановою Вікторією Вікторівною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від 18 серпня 2005 року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та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18 серпня 2005 року за №040569100006, у зв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язку з закінченням строку дії договору на який його було укладено.</w:t>
      </w:r>
    </w:p>
    <w:p>
      <w:pPr>
        <w:pStyle w:val="ListParagraph"/>
        <w:widowControl w:val="false"/>
        <w:suppressAutoHyphens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Дорогановій Вікторії Вікторівні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вказаної в п. 1 даного рішення, загальною площею 0,0015 га , наданої в оренду для будівництва та обслуговування будівель торгівлі (код КВЦПЗ 03.07),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bidi w:val="0"/>
        <w:spacing w:lineRule="atLeast" w:line="100"/>
        <w:ind w:left="0" w:right="0" w:firstLine="624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3. Доручити Зміївському міському голові Павлу ГОЛОДНІКОВУ вчинити дії щодо державної реєстрації в Державному реєстрі речових прав на нерухоме майно припинення права користування гр. Дорогановою В. В. земельною ділянкою, вказаної в п. 2 даного рішення,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 закінченням строку дії договору на який його було укладено.</w:t>
      </w:r>
    </w:p>
    <w:p>
      <w:pPr>
        <w:pStyle w:val="ListParagraph"/>
        <w:widowControl w:val="false"/>
        <w:suppressAutoHyphens w:val="tru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Application>LibreOffice/5.1.6.2$Linux_X86_64 LibreOffice_project/10m0$Build-2</Application>
  <Pages>2</Pages>
  <Words>429</Words>
  <Characters>2818</Characters>
  <CharactersWithSpaces>3449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2024-05-10T10:55:33Z</cp:lastPrinted>
  <dcterms:modified xsi:type="dcterms:W3CDTF">2024-06-18T11:13:03Z</dcterms:modified>
  <cp:revision>226</cp:revision>
  <dc:subject/>
  <dc:title/>
</cp:coreProperties>
</file>