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№3708-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19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Євдокімовій Ж.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Євдокімової Жанни Вікторівни,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 за адресою: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ТОВ Консультаційний сервісний центр “ГУДВІЛ”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договір купівлі-продажу від 17 липня 2023 року, посвідчений приватним нотаріусом Харківського міського нотаріального округу Харківської області Жовнір Т. Л. та зареєстрований в реєстрі за номером 333,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1200412882024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08.05.2024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гр. Євдокімової Жанни Вікторівни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гр. Євдокімовій Жанні Вікторівні,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, яка зареєстрована за адресою: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у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/>
        </w:rPr>
        <w:t>6321785001:01:003:0160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</w:rPr>
        <w:t>код КВЦПЗ - 02.01)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0,1800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га (забудовані землі - 0,1800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>га, з них малоповерхова забудова - 0,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0193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га, прибудинкова територія - 0,1607 га), що розташована по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6321785001:01:003:0160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/>
        </w:rPr>
        <w:t xml:space="preserve">, що передається у власність, згідно Порядку ведення Державного земельного кадастру, затвердженого                         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 xml:space="preserve">Рекомендувати гр. Євдокімовій Ж. В.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Application>LibreOffice/5.1.6.2$Linux_X86_64 LibreOffice_project/10m0$Build-2</Application>
  <Pages>2</Pages>
  <Words>471</Words>
  <Characters>3239</Characters>
  <CharactersWithSpaces>3881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2024-06-06T14:12:28Z</cp:lastPrinted>
  <dcterms:modified xsi:type="dcterms:W3CDTF">2024-06-12T11:33:40Z</dcterms:modified>
  <cp:revision>227</cp:revision>
  <dc:subject/>
  <dc:title/>
</cp:coreProperties>
</file>