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 xml:space="preserve">№ </w:t>
      </w:r>
      <w:r>
        <w:rPr>
          <w:rFonts w:cs="Times New Roman"/>
          <w:b/>
          <w:bCs/>
          <w:lang w:val="uk-UA"/>
        </w:rPr>
        <w:t>3590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затвердження Комунальному підприємству “Зміїв-сервіс” Зміївської міської ради проекту                     землеустрою щодо відведення земельної ділянки для                     розміщення та експлуатації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єктів трубопровідного транспорту (для будівництва водопроводу) та встановлення земельного сервітуту на земельній ділянці, що розташована по вул. Ковтуна (від колодязя К8 до колодязя Б13/К13) до колодязя Ф2 по                                           вул. Фабричній, смт. Зідьки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директора Комунального підприємства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“Зміїв-сервіс”            Віталія КУЛІША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37083454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ісцезнаходження юридичної особи: вул. Покровська, буд. 24, м. Зміїв, про затвердження проекту                        землеустрою щодо відведення земельної ділянки для розміщення та експлуатації 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єктів трубопровідного транспорту(для будівництва водопроводу) та встановлення земельного сервітуту на земельній ділянці, що розташована по вул. Ковтуна (від колодязя К8 до                              колодязя Б13/К13) до колодязя Ф2 по вул. Фабричній, смт. Зідьки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розроблений                               ТОВ “Всеукраїнське підприємство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№НВ-3201382062023 від 07.12.2023 року, що зареєстрована Відділом №1 Управління надання адміністративних послуг Головного управління Держгеокадастру у Київській області, рекомендації 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                       ст. 12, 98, 99, 100, 124 Земельного кодексу України, ст. 25, 50 Закону України “Про                         землеустрій”, ст. 401, 402 Цивільного кодексу України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п. 34 ст. 26, 59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color w:val="00000A"/>
          <w:sz w:val="24"/>
          <w:szCs w:val="24"/>
          <w:lang w:val="uk-UA"/>
        </w:rPr>
      </w:pPr>
      <w:r>
        <w:rPr>
          <w:rFonts w:cs="Times New Roman"/>
          <w:b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КП “Зміїв-сервіс” за рахунок земель комунальної власності Зміївської міської ради, угіддя - землі, які                                 використовуються для технічної інфраструктури, для розміщення та експлуатації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єктів трубопровідного транспорту (для будівництва водопроводу) (код КВЦПЗ - 12.06) з метою встановлення земельного сервітуту, що розташована по вул. Ковтуна (від колодязя К8 до                           колодязя Б13/К13) до колодязя Ф2 по вул. Фабричній, смт. Зідьки на території Зміївської міської ради Чугуївського району Харківської області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2.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55300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151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 на земельній ділянці, кадастровий номер 6321755300:01:003:0151, що сформована за рахунок земель промисловості, транспорту, електронних комунікацій, енергетики, оборони та іншого призначення комунальної власності Зміївської територіальної громади, загальною площею 0,4121 га, для розміщення та експлуатації об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єктів                                  трубопровідного транспорту (код КВЦПЗ - 12.06), що розташована по вул. Донецьке шосе, смт. Зідьки(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від колодязя Д4/К5 до колодязя Д1/Ф6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), земельний сервітут, а саме: право           прокладення та експлуатації  ліній електропередачі, електронних комунікаційних мереж, трубопроводів, інших лінійних комунікацій (07.03) загальною площею 0,4121 га, шляхом укладення договору про встановлення земельного сервітуту строком на 5 років на                                 безоплатній основі.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57" w:hanging="0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      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4. Рекомендувати КП “Зміїв-сервіс” забезпечити підготовку та укладання договору про  встановлення земельного сервітуту на земельну ділянку зі Зміївською міською радою і                       реєстрацію його в установленому законом порядку.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   </w:t>
      </w: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5. </w:t>
      </w:r>
      <w:r>
        <w:rPr>
          <w:rStyle w:val="11"/>
          <w:rFonts w:eastAsia="Times New Roman" w:cs="Times New Roman"/>
          <w:iCs/>
          <w:color w:val="00000A"/>
          <w:spacing w:val="4"/>
          <w:sz w:val="24"/>
          <w:szCs w:val="24"/>
          <w:lang w:val="uk-UA" w:bidi="ar-SA"/>
        </w:rPr>
        <w:t>Контроль за виконанням рішення покласти на постійну комісію з питань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3065" w:right="-1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Web"/>
        <w:widowControl w:val="false"/>
        <w:numPr>
          <w:ilvl w:val="0"/>
          <w:numId w:val="0"/>
        </w:numPr>
        <w:tabs>
          <w:tab w:val="left" w:pos="0" w:leader="none"/>
          <w:tab w:val="left" w:pos="349" w:leader="none"/>
        </w:tabs>
        <w:suppressAutoHyphens w:val="false"/>
        <w:bidi w:val="0"/>
        <w:spacing w:before="100" w:after="0"/>
        <w:ind w:left="701" w:right="0" w:hanging="0"/>
        <w:jc w:val="both"/>
        <w:rPr>
          <w:rStyle w:val="Style20"/>
          <w:rFonts w:ascii="Times New Roman" w:hAnsi="Times New Roman" w:eastAsia="Times New Roman" w:cs="Times New Roman"/>
          <w:b w:val="false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pPr>
      <w:r>
        <w:rPr>
          <w:rFonts w:eastAsia="Times New Roman" w:cs="Times New Roman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-1069" w:right="0" w:firstLine="1069"/>
        <w:jc w:val="both"/>
        <w:rPr>
          <w:b w:val="false"/>
          <w:b w:val="false"/>
          <w:bCs w:val="false"/>
          <w:i w:val="false"/>
          <w:i w:val="false"/>
          <w:iCs/>
          <w:color w:val="00000A"/>
          <w:lang w:eastAsia="ru-RU" w:bidi="zxx"/>
        </w:rPr>
      </w:pPr>
      <w:r>
        <w:rPr>
          <w:b w:val="false"/>
          <w:bCs w:val="false"/>
          <w:i w:val="false"/>
          <w:iCs/>
          <w:color w:val="00000A"/>
          <w:lang w:eastAsia="ru-RU" w:bidi="zxx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Symbol"/>
      <w:b w:val="false"/>
      <w:sz w:val="24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Application>LibreOffice/5.1.6.2$Linux_X86_64 LibreOffice_project/10m0$Build-2</Application>
  <Pages>2</Pages>
  <Words>493</Words>
  <Characters>3495</Characters>
  <CharactersWithSpaces>4604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2024-04-12T09:09:52Z</cp:lastPrinted>
  <dcterms:modified xsi:type="dcterms:W3CDTF">2024-04-12T09:10:55Z</dcterms:modified>
  <cp:revision>226</cp:revision>
  <dc:subject/>
  <dc:title/>
</cp:coreProperties>
</file>