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№4235-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  <w:tab w:val="left" w:pos="6350" w:leader="none"/>
        </w:tabs>
        <w:suppressAutoHyphens w:val="true"/>
        <w:overflowPunct w:val="false"/>
        <w:bidi w:val="0"/>
        <w:spacing w:lineRule="auto" w:line="240" w:before="0" w:after="0"/>
        <w:ind w:left="0" w:right="3685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Золотухіній С.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Золотухіної Світлани Володимирівни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ФО-П 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з Державного реєстру речових прав на нерухоме майно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реєстрацію права власності,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207544006 від 25.04.2020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Витяг з Державного реєстру речових прав на нерухоме майно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реєстрацію права 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індексний номер витягу: 233567284 від 21.11.2020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(реєстраційний номер об’єкта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18885163217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Зміївського районного нотаріального округу,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витяг з Державного земельного кадастру про земельну ділянку № НВ-3201411322024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05.12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року, що зареєстрована Відділом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Зміївському районі                   Харківської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Золотухіної Світлани Володимирівни для будівництва і обслуговування житлового будинку, господарських будівель і споруд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Золотухіній Світлані Володимирівні,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6321710100:02:004:0246,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0,0723 га (забудовані землі - 0,0723 га, з них малоповерхова забудова - 0,0215 га, землі під житловою забудовою - 0,0508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10100: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246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Золотухіній С. В.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lineRule="auto" w:line="247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Application>LibreOffice/5.1.6.2$Linux_X86_64 LibreOffice_project/10m0$Build-2</Application>
  <Pages>2</Pages>
  <Words>519</Words>
  <Characters>3565</Characters>
  <CharactersWithSpaces>4315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2024-12-24T15:31:02Z</cp:lastPrinted>
  <dcterms:modified xsi:type="dcterms:W3CDTF">2024-12-26T10:37:43Z</dcterms:modified>
  <cp:revision>329</cp:revision>
  <dc:subject/>
  <dc:title/>
</cp:coreProperties>
</file>