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№4152-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720" w:right="5103" w:hanging="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419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Безуглому Є. В.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проекту землеустрою щодо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зміни цільового призначення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земельної ділянки на цільове призначення “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д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ля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будівництва та обслуговування будівель торгівлі”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, що розташована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по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Безуглого Євгена Володимировича,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роекту землеустрою щодо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зміни цільового призначення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земельної ділянки з кадастрови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номеро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81002:00:001:0086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“для будівництва і обслуговування житлового будинку, господарських будівель і споруд (присадибна ділянка)” на цільове призначення “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будівництва та обслуговування будівель торгівлі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”, розташован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за адресою: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наданий проект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виконаний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речових прав, індексний номер витягу: 351061681 від 19.10.2023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 нерухомого майна: 2815900663217),  зареєстроване державним реєстратором Відділу реєстраційних послуг Зміївської міської ради, витяг з містобудівної документації - генерального плану с. Водяне Чугуївського (Зміївського) району Харківської області, розробленого інститутом “Укрміськбудпроект” у 1979 році, актуалізованого рішенням Борівської сільської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XXXI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22.03.2013 року №255-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актуалізацію наявних генеральних планів населених пунктів”, виданий відділом з питань містобудування та архітектури Зміївської міської ради 18.10.2024 року за №01-18/30,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02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                 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Затвердити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земельної ділянки гр.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Безуглого Євгена Володимировича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з кадастровим номером: 632178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1002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:0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:00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1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:0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086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з “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                 (присадибна ділянка)” на цільове призначення 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будівництва та обслуговування будівель торгівлі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Чугуївськ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район, Харківськ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област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6321781002:00:001:0086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, загальною площею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0,0400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га, що розташована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(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номер відомостей про речове право: 52186956 від 12.10.2023 року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en-US" w:bidi="ar-SA"/>
        </w:rPr>
        <w:t>2815900663217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Style w:val="Style12"/>
          <w:rFonts w:cs="Times New Roman"/>
          <w:iCs/>
          <w:sz w:val="24"/>
          <w:szCs w:val="24"/>
          <w:lang w:val="uk-UA"/>
        </w:rPr>
        <w:t>з “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ділянка)”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(код КВЦПЗ -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02.01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) (вид угідь: забудовані землі -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0,0400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га, з ни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малоповерхова забудова - 0,0400 га)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на “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для будівництва та обслуговування будівель торгівлі”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(код КВЦПЗ -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03.07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) (вид угідь -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землі під соціально-культурними </w:t>
      </w:r>
      <w:r>
        <w:rPr>
          <w:rStyle w:val="Style12"/>
          <w:rFonts w:eastAsia="SimSun" w:cs="Times New Roman"/>
          <w:iCs/>
          <w:color w:val="00000A"/>
          <w:sz w:val="24"/>
          <w:szCs w:val="24"/>
          <w:lang w:val="en-US" w:eastAsia="en-US" w:bidi="ar-SA"/>
        </w:rPr>
        <w:t>об`єктами</w:t>
      </w:r>
      <w:r>
        <w:rPr>
          <w:rStyle w:val="Style12"/>
          <w:rFonts w:cs="Times New Roman"/>
          <w:iCs/>
          <w:sz w:val="24"/>
          <w:szCs w:val="24"/>
          <w:lang w:val="uk-UA"/>
        </w:rPr>
        <w:t>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 xml:space="preserve">Рекомендувати гр. </w:t>
      </w:r>
      <w:r>
        <w:rPr>
          <w:rStyle w:val="Style12"/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Безуглому Є. В. </w:t>
      </w:r>
      <w:r>
        <w:rPr>
          <w:rStyle w:val="Style12"/>
          <w:rFonts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cs="Times New Roman"/>
          <w:iCs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</w:t>
      </w:r>
      <w:r>
        <w:rPr>
          <w:rStyle w:val="Style12"/>
          <w:rFonts w:cs="Times New Roman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color w:val="000000"/>
          <w:sz w:val="24"/>
          <w:szCs w:val="24"/>
          <w:lang w:val="uk-UA"/>
        </w:rPr>
        <w:t xml:space="preserve"> Зміївської міської ради (Андрій РЕВЕНКО)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Application>LibreOffice/5.1.6.2$Linux_X86_64 LibreOffice_project/10m0$Build-2</Application>
  <Pages>2</Pages>
  <Words>456</Words>
  <Characters>3242</Characters>
  <CharactersWithSpaces>3934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2024-12-09T10:15:32Z</cp:lastPrinted>
  <dcterms:modified xsi:type="dcterms:W3CDTF">2024-12-09T15:23:49Z</dcterms:modified>
  <cp:revision>319</cp:revision>
  <dc:subject/>
  <dc:title/>
</cp:coreProperties>
</file>