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березня 2024 року                                       м. Зміїв                                       </w:t>
      </w:r>
      <w:r>
        <w:rPr>
          <w:rFonts w:cs="Times New Roman"/>
          <w:b/>
          <w:bCs/>
        </w:rPr>
        <w:t xml:space="preserve">   </w:t>
      </w:r>
      <w:r>
        <w:rPr>
          <w:rFonts w:cs="Times New Roman"/>
          <w:b/>
          <w:bCs/>
          <w:lang w:val="uk-UA"/>
        </w:rPr>
        <w:t>№3481-</w:t>
      </w:r>
      <w:r>
        <w:rPr>
          <w:rFonts w:cs="Times New Roman"/>
          <w:b/>
          <w:bCs/>
          <w:lang w:val="en-US"/>
        </w:rPr>
        <w:t>LХ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5100" w:leader="none"/>
          <w:tab w:val="left" w:pos="5325" w:leader="none"/>
        </w:tabs>
        <w:suppressAutoHyphens w:val="false"/>
        <w:bidi w:val="0"/>
        <w:snapToGrid w:val="true"/>
        <w:spacing w:lineRule="auto" w:line="240" w:before="280" w:after="0"/>
        <w:ind w:left="-17" w:right="425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 xml:space="preserve">Про затвердження гр. Харченку А. П.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              будинку, господарських будівель і споруд                    (присадибна ділянка), що розташована по                      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клопотання гр. Харченка Андрія Павловича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ідентифікаційний номер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ий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зареєстрован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ий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                             ФО-П Солдатенко В. В., витяг з Державного реєстру речових прав на нерухоме майно про реєстрацію права власності, індексний номер витягу: 299223469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11.02.2022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ро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ку                      (реєстраційний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2580238063140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), зареєстроване                       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ПН Чугуївського районного нотаріального округу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итяг з Державного земельного кадастру про земельну ділянку № НВ-4800163222024 від 16.02.2024 року,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що                           зареєстрована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Відділом № 4 Управління надання адміністративних послуг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Головного управління Держгеокадастру 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Миколаївській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області, рекомендації постійної комісії з                      питань містобудування, будівництва, розвитку інфраструктури, земельних відносин,                    природокористування та аграрної політики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(витяг з протоколу № 52 засідання постійної комісії від 05 березня 2024 року), 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>керуючись ст. 12, 40, 81, 118, 121, 122, 125, 126, 186, підпунктом 5 пункту 27 Перехідних положень  Земельного кодексу України,               ст. 25 Закону України «Про землеустрій», п. 34 ст. 26 Закону України «Про місцеве                      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200"/>
        <w:rPr>
          <w:sz w:val="24"/>
          <w:szCs w:val="24"/>
        </w:rPr>
      </w:pPr>
      <w:r>
        <w:rPr>
          <w:rFonts w:cs="Times New Roman"/>
          <w:b/>
          <w:sz w:val="24"/>
          <w:szCs w:val="24"/>
          <w:lang w:val="uk-UA"/>
        </w:rPr>
        <w:t>ВИРІШИЛА:</w:t>
      </w:r>
    </w:p>
    <w:p>
      <w:pPr>
        <w:pStyle w:val="Normal"/>
        <w:spacing w:lineRule="atLeast" w:line="200"/>
        <w:rPr>
          <w:rFonts w:cs="Times New Roman"/>
          <w:b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</w:r>
    </w:p>
    <w:p>
      <w:pPr>
        <w:pStyle w:val="ListParagraph"/>
        <w:widowControl w:val="false"/>
        <w:numPr>
          <w:ilvl w:val="0"/>
          <w:numId w:val="0"/>
        </w:numPr>
        <w:tabs>
          <w:tab w:val="left" w:pos="568" w:leader="none"/>
        </w:tabs>
        <w:suppressAutoHyphens w:val="true"/>
        <w:bidi w:val="0"/>
        <w:spacing w:lineRule="auto" w:line="252"/>
        <w:ind w:left="-17" w:right="0" w:hanging="0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 xml:space="preserve">        </w:t>
      </w: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 xml:space="preserve">1. </w:t>
      </w:r>
      <w:r>
        <w:rPr>
          <w:rStyle w:val="11"/>
          <w:rFonts w:eastAsia="Times New Roman" w:cs="Times New Roman"/>
          <w:iCs/>
          <w:color w:val="00000A"/>
          <w:sz w:val="24"/>
          <w:szCs w:val="24"/>
          <w:lang w:val="uk-UA"/>
        </w:rPr>
        <w:t xml:space="preserve">Затвердити технічну документацію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код КВЦПЗ - 02.01)) гр. Харченку Андрію Павловичу в </w:t>
      </w:r>
      <w:r>
        <w:rPr>
          <w:rStyle w:val="11"/>
          <w:rFonts w:eastAsia="Times New Roman" w:cs="Times New Roman"/>
          <w:iCs/>
          <w:color w:val="00000A"/>
          <w:sz w:val="24"/>
          <w:szCs w:val="24"/>
          <w:lang w:val="uk-UA"/>
        </w:rPr>
        <w:t>Х</w:t>
      </w:r>
      <w:r>
        <w:rPr>
          <w:rStyle w:val="11"/>
          <w:rFonts w:eastAsia="Times New Roman" w:cs="Times New Roman"/>
          <w:iCs/>
          <w:color w:val="00000A"/>
          <w:sz w:val="24"/>
          <w:szCs w:val="24"/>
          <w:lang w:val="uk-UA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2. Передати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 xml:space="preserve">гр. Харченку Андрію Павловичу, ідентифікаційний номер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Х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 xml:space="preserve">,  який зареєстрований за адресою: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Х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, у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 xml:space="preserve"> приватну власність земельну ділянку, кадастровий номер 63217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86001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:0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1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:00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2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:0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 xml:space="preserve">099, для будівництва і обслуговування житлового будинку,  господарських будівель і споруд (присадибна ділянка) (код КВЦПЗ - 02.01) 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>із земель житлової та громадської забудови комунальної власності територіальної громади Зміївської міської ради, площею 0,</w:t>
      </w:r>
      <w:r>
        <w:rPr>
          <w:rStyle w:val="11"/>
          <w:rFonts w:eastAsia="Times New Roman" w:cs="Times New Roman"/>
          <w:iCs/>
          <w:color w:val="00000A"/>
          <w:sz w:val="24"/>
          <w:szCs w:val="24"/>
        </w:rPr>
        <w:t xml:space="preserve">1731 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>га (забудовані землі - 0,</w:t>
      </w:r>
      <w:r>
        <w:rPr>
          <w:rStyle w:val="11"/>
          <w:rFonts w:eastAsia="Times New Roman" w:cs="Times New Roman"/>
          <w:iCs/>
          <w:color w:val="00000A"/>
          <w:sz w:val="24"/>
          <w:szCs w:val="24"/>
        </w:rPr>
        <w:t xml:space="preserve">1731 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>га, з них малоповерхова забудова - 0,</w:t>
      </w:r>
      <w:r>
        <w:rPr>
          <w:rStyle w:val="11"/>
          <w:rFonts w:eastAsia="Times New Roman" w:cs="Times New Roman"/>
          <w:iCs/>
          <w:color w:val="00000A"/>
          <w:sz w:val="24"/>
          <w:szCs w:val="24"/>
        </w:rPr>
        <w:t>1731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 га), що розташована по 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>Х</w:t>
      </w:r>
      <w:r>
        <w:rPr>
          <w:rStyle w:val="11"/>
          <w:rFonts w:eastAsia="Times New Roman" w:cs="Times New Roman"/>
          <w:iCs/>
          <w:color w:val="00000A"/>
          <w:sz w:val="24"/>
          <w:szCs w:val="24"/>
        </w:rPr>
        <w:t xml:space="preserve"> Чугуївського району Харківської області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3.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На земельній ділянці, кадастровий номер 63217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86001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1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:00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2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:0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099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>4. Рекомендувати гр. Харченку А. П.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5.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Копію даного рішення направити в ГУ ДПС у Харківській області.</w:t>
      </w:r>
    </w:p>
    <w:p>
      <w:pPr>
        <w:pStyle w:val="Normal"/>
        <w:widowControl w:val="false"/>
        <w:suppressAutoHyphens w:val="fals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pacing w:val="4"/>
          <w:sz w:val="24"/>
          <w:szCs w:val="24"/>
          <w:shd w:fill="FFFFFF" w:val="clear"/>
          <w:lang w:val="uk-UA" w:eastAsia="ru-RU" w:bidi="ar-SA"/>
        </w:rPr>
        <w:t>6. Контроль за виконанням рішення покласти на постійну комісію з питань                       містобудування, будівництва, розвитку інфраструктури, земельних відносин,                           природокористування та аграрної політики Зміївської міської ради (Андрій РЕВЕНКО).</w:t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2008</TotalTime>
  <Application>LibreOffice/5.1.6.2$Linux_X86_64 LibreOffice_project/10m0$Build-2</Application>
  <Pages>2</Pages>
  <Words>480</Words>
  <Characters>3295</Characters>
  <CharactersWithSpaces>4211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2024-02-27T09:09:42Z</cp:lastPrinted>
  <dcterms:modified xsi:type="dcterms:W3CDTF">2024-03-12T08:54:01Z</dcterms:modified>
  <cp:revision>188</cp:revision>
  <dc:subject/>
  <dc:title/>
</cp:coreProperties>
</file>