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№3479-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325" w:leader="none"/>
        </w:tabs>
        <w:suppressAutoHyphens w:val="false"/>
        <w:bidi w:val="0"/>
        <w:snapToGrid w:val="true"/>
        <w:spacing w:lineRule="auto" w:line="240" w:before="280" w:after="0"/>
        <w:ind w:left="-17" w:right="436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Байловій Н.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житлового будинку, господарських будівель і споруд (присадибна ділянка), що розташована 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Байлової Наталі Анатоліївни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з Державного реєстру речових прав на нерухоме майно  про реєстрацію права власності, 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146433581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22.11.2018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ку (реєстраційний номер об`єкта нерухомого майна: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1701084063217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ПН Харківського районного                        нотаріального округу,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 з Державного земельного кадастру про земельну ділянку                  № НВ-7100126532024 від 12.02.2024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у Зміївському                 районі  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Харківській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керуючись               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568" w:leader="none"/>
        </w:tabs>
        <w:suppressAutoHyphens w:val="true"/>
        <w:bidi w:val="0"/>
        <w:spacing w:lineRule="auto" w:line="252"/>
        <w:ind w:left="-17" w:right="0" w:hanging="0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       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1. Затвердити технічну документацію щодо встановлення (відновлення) меж земельної ділянки в натурі (на місцевості) для будівництва і обслуговування жит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>лово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го будинку, господарських будівель і споруд 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 xml:space="preserve">(присадибна ділянка) код КВЦПЗ - 02.01)) гр. Байловій Наталі Анатоліївні в с. Таранівка по 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гр. Байловій Наталі Анатоліївні,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, у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86001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4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187,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із земель житлової та громадської забудови комунальної власності територіальної  громади Зміївської міської ради, площею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1467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  (забудовані землі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1467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га, з них малоповерхова забудова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0072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га, під житловою забудовою - 0,1395 га), що розташована по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86001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4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187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4. Рекомендувати гр. Байловій Н.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Application>LibreOffice/5.1.6.2$Linux_X86_64 LibreOffice_project/10m0$Build-2</Application>
  <Pages>2</Pages>
  <Words>486</Words>
  <Characters>3315</Characters>
  <CharactersWithSpaces>4112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2024-02-27T09:09:42Z</cp:lastPrinted>
  <dcterms:modified xsi:type="dcterms:W3CDTF">2024-03-12T08:46:17Z</dcterms:modified>
  <cp:revision>188</cp:revision>
  <dc:subject/>
  <dc:title/>
</cp:coreProperties>
</file>