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4536" w:leader="none"/>
        </w:tabs>
        <w:suppressAutoHyphens w:val="true"/>
        <w:spacing w:lineRule="atLeast" w:line="200" w:before="0" w:after="0"/>
        <w:jc w:val="center"/>
        <w:rPr>
          <w:rFonts w:ascii="Times New Roman" w:hAnsi="Times New Roman" w:eastAsia="Lucida Sans Unicode" w:cs="Times New Roman"/>
          <w:b/>
          <w:b/>
          <w:bCs/>
          <w:caps/>
          <w:color w:val="000000"/>
          <w:sz w:val="24"/>
          <w:szCs w:val="24"/>
          <w:lang w:val="uk-UA" w:eastAsia="ru-RU" w:bidi="ru-RU"/>
        </w:rPr>
      </w:pPr>
      <w:r>
        <w:rPr/>
        <w:drawing>
          <wp:inline distT="0" distB="0" distL="0" distR="0">
            <wp:extent cx="419100" cy="6096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ap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aps/>
          <w:color w:val="000000"/>
          <w:sz w:val="24"/>
          <w:szCs w:val="24"/>
          <w:lang w:val="uk-UA" w:eastAsia="ru-RU" w:bidi="ru-RU"/>
        </w:rPr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ЗМІЇВСЬКА МІСЬКА РАДА</w:t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ЧУГУЇВСЬКОГО РАЙОНУ ХАРКІВСЬКОЇ  ОБЛАСТІ</w:t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>
          <w:rFonts w:ascii="Times New Roman" w:hAnsi="Times New Roman" w:eastAsia="Lucida Sans Unicode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ХХ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  <w:t>X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ІХ СЕСІЯ VІІI СКЛИКАННЯ</w:t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ind w:left="0" w:hanging="0"/>
        <w:jc w:val="center"/>
        <w:outlineLvl w:val="2"/>
        <w:rPr>
          <w:rFonts w:ascii="Times New Roman" w:hAnsi="Times New Roman" w:eastAsia="Lucida Sans Unicode" w:cs="Times New Roman"/>
          <w:cap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caps/>
          <w:color w:val="000000"/>
          <w:sz w:val="24"/>
          <w:szCs w:val="24"/>
          <w:lang w:val="uk-UA" w:eastAsia="ru-RU" w:bidi="ru-RU"/>
        </w:rPr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ind w:left="0" w:hanging="0"/>
        <w:jc w:val="center"/>
        <w:outlineLvl w:val="2"/>
        <w:rPr>
          <w:rFonts w:ascii="Times New Roman" w:hAnsi="Times New Roman" w:eastAsia="Lucida Sans Unicode" w:cs="Times New Roman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b/>
          <w:bCs/>
          <w:caps/>
          <w:color w:val="000000"/>
          <w:sz w:val="24"/>
          <w:szCs w:val="24"/>
          <w:lang w:val="uk-UA" w:eastAsia="ru-RU" w:bidi="ru-RU"/>
        </w:rPr>
        <w:t>РІШЕННЯ</w:t>
      </w:r>
    </w:p>
    <w:p>
      <w:pPr>
        <w:pStyle w:val="Normal"/>
        <w:widowControl w:val="false"/>
        <w:suppressAutoHyphens w:val="true"/>
        <w:spacing w:lineRule="atLeast" w:line="20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eastAsia="Lucida Sans Unicode" w:cs="Tahoma" w:ascii="Times New Roman" w:hAnsi="Times New Roman"/>
          <w:b/>
          <w:sz w:val="24"/>
          <w:szCs w:val="24"/>
          <w:lang w:val="uk-UA" w:eastAsia="ru-RU" w:bidi="ru-RU"/>
        </w:rPr>
        <w:t>07 березня 2023 року                                        м. Зміїв                                       №2707-ХХ</w:t>
      </w:r>
      <w:r>
        <w:rPr>
          <w:rFonts w:eastAsia="Lucida Sans Unicode" w:cs="Tahoma" w:ascii="Times New Roman" w:hAnsi="Times New Roman"/>
          <w:b/>
          <w:sz w:val="24"/>
          <w:szCs w:val="24"/>
          <w:lang w:eastAsia="ru-RU" w:bidi="ru-RU"/>
        </w:rPr>
        <w:t>X</w:t>
      </w:r>
      <w:r>
        <w:rPr>
          <w:rFonts w:eastAsia="Lucida Sans Unicode" w:cs="Tahoma" w:ascii="Times New Roman" w:hAnsi="Times New Roman"/>
          <w:b/>
          <w:sz w:val="24"/>
          <w:szCs w:val="24"/>
          <w:lang w:val="uk-UA" w:eastAsia="ru-RU" w:bidi="ru-RU"/>
        </w:rPr>
        <w:t>ІХ-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VІІI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ahoma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ahoma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120" w:leader="none"/>
          <w:tab w:val="left" w:pos="225" w:leader="none"/>
          <w:tab w:val="left" w:pos="450" w:leader="none"/>
          <w:tab w:val="left" w:pos="675" w:leader="none"/>
        </w:tabs>
        <w:bidi w:val="0"/>
        <w:spacing w:lineRule="auto" w:line="240" w:before="0" w:after="0"/>
        <w:ind w:left="0" w:right="4025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color w:val="00000A"/>
          <w:spacing w:val="3"/>
          <w:sz w:val="24"/>
          <w:szCs w:val="24"/>
          <w:lang w:val="uk-UA"/>
        </w:rPr>
        <w:t>Про затвердження ПАТ “Національна енергетична компанія “Укренерго” проекту землеустрою щодо відведення земельних ділянок у постійне користування для розміщення, будівництва, експлуатації та обслуговування будівель і споруд об</w:t>
      </w:r>
      <w:r>
        <w:rPr>
          <w:rFonts w:cs="Times New Roman" w:ascii="Times New Roman" w:hAnsi="Times New Roman"/>
          <w:b/>
          <w:bCs/>
          <w:iCs/>
          <w:color w:val="00000A"/>
          <w:spacing w:val="3"/>
          <w:sz w:val="24"/>
          <w:szCs w:val="24"/>
          <w:lang w:val="en-US"/>
        </w:rPr>
        <w:t>'</w:t>
      </w:r>
      <w:r>
        <w:rPr>
          <w:rFonts w:cs="Times New Roman" w:ascii="Times New Roman" w:hAnsi="Times New Roman"/>
          <w:b/>
          <w:bCs/>
          <w:iCs/>
          <w:color w:val="00000A"/>
          <w:spacing w:val="3"/>
          <w:sz w:val="24"/>
          <w:szCs w:val="24"/>
          <w:lang w:val="uk-UA"/>
        </w:rPr>
        <w:t xml:space="preserve">єктів передачі електричної та теплової енергії, що розташовані за межами населених пунктів на території Зміївської міської ради (опори №59, №62, №63, №65, №68, №70 типу У-39м)  </w:t>
      </w:r>
    </w:p>
    <w:p>
      <w:pPr>
        <w:pStyle w:val="Normal"/>
        <w:widowControl/>
        <w:tabs>
          <w:tab w:val="left" w:pos="120" w:leader="none"/>
          <w:tab w:val="left" w:pos="360" w:leader="none"/>
          <w:tab w:val="left" w:pos="450" w:leader="none"/>
          <w:tab w:val="left" w:pos="675" w:leader="none"/>
          <w:tab w:val="left" w:pos="705" w:leader="none"/>
          <w:tab w:val="left" w:pos="915" w:leader="none"/>
        </w:tabs>
        <w:bidi w:val="0"/>
        <w:spacing w:lineRule="auto" w:line="240" w:before="0" w:after="0"/>
        <w:ind w:left="0" w:right="493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4253" w:leader="none"/>
        </w:tabs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Розглянувши клопотання представника ПАТ “Національна енергетична компанія “Укренерго” Олексія Скопіча, який діє на підставі довіреності, </w:t>
      </w:r>
      <w:r>
        <w:rPr>
          <w:rStyle w:val="Style14"/>
          <w:rFonts w:cs="Times New Roman" w:ascii="Times New Roman" w:hAnsi="Times New Roman"/>
          <w:b w:val="false"/>
          <w:bCs w:val="false"/>
          <w:iCs/>
          <w:color w:val="000000"/>
          <w:sz w:val="24"/>
          <w:szCs w:val="24"/>
          <w:shd w:fill="FFFFFF" w:val="clear"/>
          <w:lang w:val="uk-UA"/>
        </w:rPr>
        <w:t xml:space="preserve">що посвідчена приватним нотаріусом Київського міського нотаріального округу Косенко О. О. від 15.01.2021 року №97,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про затвердження проекту землеустрою щодо відведення земельних ділянок у постійне користування за рахунок земель промисловості, транспорту, зв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en-US" w:bidi="ar-SA"/>
        </w:rPr>
        <w:t>'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язку, енергетики, оборони та іншого призначення комунальної власності для розміщення, будівництва, експлуатації та обслуговування будівель і споруд об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en-US" w:bidi="ar-SA"/>
        </w:rPr>
        <w:t>'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єктів передачі електричної та теплової енергії (вид використання: для розміщення та експлуатації опор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>№59, №62, №63, №65, №68, №70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 ПЛ 330 кВ Зміївська ТЕС - Бєлгород з відгалуженням на ПС 330 кВ “Лосєве”), що розташовані за межами населених пунктів на території Зміївської міської ради, враховуючи рішення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en-US" w:bidi="ar-SA"/>
        </w:rPr>
        <w:t xml:space="preserve">XIV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сесії Зміївської міської ради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en-US" w:bidi="ar-SA"/>
        </w:rPr>
        <w:t xml:space="preserve"> VIII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скликання від 09 вересня 2021 року № 118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en-US" w:bidi="ar-SA"/>
        </w:rPr>
        <w:t>7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-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en-US" w:bidi="ar-SA"/>
        </w:rPr>
        <w:t>XIV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-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en-US" w:bidi="ar-SA"/>
        </w:rPr>
        <w:t xml:space="preserve">VIII,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№ 1190-1194-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en-US" w:bidi="ar-SA"/>
        </w:rPr>
        <w:t>XIV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-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en-US" w:bidi="ar-SA"/>
        </w:rPr>
        <w:t xml:space="preserve">VIII,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проект землеустрою, розроблений ФОП Скопіч О. В., витяг з Державного земельного кадастру про земельну ділянку № НВ-3224373182021 від 12.11.2021 року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en-US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що зареєстрована відділом у Богуславському районі Головного управління Держгеокадастру у Київській області, витяг з Державного земельного кадастру про земельну ділянку № НВ-7117211282021 від                         04.11.2021 року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en-US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що зареєстрована відділом 5 Управління у Уманському районі Головного управління Держгеокадастру у Черкаській області, витяг з Державного земельного кадастру про земельну ділянку № НВ-5319265772021 від 16.11.2021 року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en-US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що зареєстрована відділом у                      м. Кременчуці Міськрайонного управління у Кременчуцькому районі та мм. Кременчуці, Горішніх Плавнях Головного управління Держгеокадастру у Полтавській області, витяг з Державного земельного кадастру про земельну ділянку № НВ-7117443712021 від                        13.12.2021 року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en-US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що зареєстрована відділом 2 Управління у Черкаському районі Головного управління Держгеокадастру у Черкаській області, витяг з Державного земельного кадастру про земельну ділянку № НВ-3224428362021 від 18.11.2021 року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en-US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що зареєстрована сектором у                 м. Славутичі Головного управління Держгеокадастру у Київській області, витяг з Державного земельного кадастру про земельну ділянку № НВ-2309934532021 від 16.11.2021 року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en-US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що зареєстрована відділом у Великобілозерському районі Головного управління Держгеокадастру у Запорізькій області, враховуючи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shd w:fill="FFFFFF" w:val="clear"/>
          <w:lang w:val="uk-UA" w:bidi="ar-SA"/>
        </w:rPr>
        <w:t xml:space="preserve">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рекомендації постійної комісії з питань містобудування, будівництва, розвитку інфраструктури, земельних відносин, природокористування та аграрної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C9211E"/>
          <w:sz w:val="24"/>
          <w:szCs w:val="24"/>
          <w:highlight w:val="white"/>
          <w:lang w:val="uk-UA" w:bidi="ar-SA"/>
        </w:rPr>
        <w:t xml:space="preserve">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політики Зміївської міської ради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shd w:fill="FFFFFF" w:val="clear"/>
          <w:lang w:val="uk-UA" w:bidi="ar-SA"/>
        </w:rPr>
        <w:t xml:space="preserve"> (витяг з протоколу №33 засідання постійної комісії від 06 березня 2023 року),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керуючись ст. 12, 20, 92, 122, 123, 186, 207, 208 Земельного кодексу України, ст. 25 Закону України «Про землеустрій», Закону України №1423-ІХ  “Про внесення змін до Земельного кодексу України та інших законодавчих актів щодо удосконалення системи  управління та дерегуляції у сфері земельних відносин”, Закону України “Про землі енергетики та правовий режим спеціальних зон енергетичних об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en-US" w:bidi="ar-SA"/>
        </w:rPr>
        <w:t>'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єктів”, п. 34 ст. 26 Закону України «Про місцеве самоврядування в Україні», Зміївська міська рада</w:t>
      </w:r>
    </w:p>
    <w:p>
      <w:pPr>
        <w:pStyle w:val="Normal"/>
        <w:widowControl/>
        <w:numPr>
          <w:ilvl w:val="0"/>
          <w:numId w:val="0"/>
        </w:numPr>
        <w:tabs>
          <w:tab w:val="left" w:pos="4253" w:leader="none"/>
        </w:tabs>
        <w:bidi w:val="0"/>
        <w:spacing w:lineRule="auto" w:line="240" w:before="0" w:after="0"/>
        <w:ind w:left="-17" w:right="0" w:hanging="0"/>
        <w:jc w:val="both"/>
        <w:rPr>
          <w:rStyle w:val="Style14"/>
          <w:rFonts w:ascii="Times New Roman" w:hAnsi="Times New Roman" w:eastAsia="Times New Roman" w:cs="Times New Roman"/>
          <w:b w:val="false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</w:r>
    </w:p>
    <w:p>
      <w:pPr>
        <w:pStyle w:val="Style18"/>
        <w:spacing w:lineRule="auto" w:line="240" w:before="0" w:after="28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ВИРІШИЛА:</w:t>
      </w:r>
    </w:p>
    <w:p>
      <w:pPr>
        <w:pStyle w:val="Normal"/>
        <w:widowControl/>
        <w:suppressAutoHyphens w:val="false"/>
        <w:bidi w:val="0"/>
        <w:spacing w:lineRule="atLeast" w:line="100" w:before="0" w:after="160"/>
        <w:ind w:left="0" w:right="0" w:firstLine="51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uk-UA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uk-UA" w:bidi="ar-SA"/>
        </w:rPr>
        <w:t>1. Затвердити проект землеустрою щодо відведення земельних ділянок (комунальна власність), загальною площею 0,0297 га, в постійне користування Приватному акціонерному товариству “Національна енергетична компанія “Укренерго” із земель промисловості,                    транспорту, зв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en-US" w:bidi="ar-SA"/>
        </w:rPr>
        <w:t>'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uk-UA" w:bidi="ar-SA"/>
        </w:rPr>
        <w:t>язку, енергетики, оборони та іншого призначення для розміщення, будівництва, експлуатації та обслуговування будівель і споруд об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en-US" w:bidi="ar-SA"/>
        </w:rPr>
        <w:t>'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uk-UA" w:bidi="ar-SA"/>
        </w:rPr>
        <w:t>єктів передачі електричної та теплової енергії //код КВЦПЗ-14.02// (для розміщення опор №59, 62, 63, 65, 68, 70 ПЛ 330 кВ Зміївська ТЕС-Белгород з відгалудженням на ПС 330 кВ “Лосєве” (інв. №3027/1) - всього 6 земельних ділянок), які розташовані за адресами: Харківська область, Чугуївський район, Зміївська міська рада (за межами населеного пункту).</w:t>
      </w:r>
    </w:p>
    <w:p>
      <w:pPr>
        <w:pStyle w:val="Normal"/>
        <w:widowControl/>
        <w:suppressAutoHyphens w:val="false"/>
        <w:spacing w:lineRule="atLeast" w:line="10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uk-UA" w:bidi="ar-SA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bidi="ar-SA"/>
        </w:rPr>
        <w:t xml:space="preserve">2. Надати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val="uk-UA" w:bidi="ar-SA"/>
        </w:rPr>
        <w:t xml:space="preserve">ПАТ “Національна енергетична компанія “Укренерго”, ідентифікаційний код      юридичної особи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val="uk-UA" w:bidi="ar-SA"/>
        </w:rPr>
        <w:t>Х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val="uk-UA" w:bidi="ar-SA"/>
        </w:rPr>
        <w:t xml:space="preserve">, місце знаходження юридичної особи: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val="uk-UA" w:bidi="ar-SA"/>
        </w:rPr>
        <w:t>Х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val="uk-UA" w:bidi="ar-SA"/>
        </w:rPr>
        <w:t>, в постійне користування із земель промисловості, транспорту, зв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val="en-US" w:bidi="ar-SA"/>
        </w:rPr>
        <w:t>'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val="uk-UA" w:bidi="ar-SA"/>
        </w:rPr>
        <w:t>язку, енергетики, оборони та іншого призначення для розміщення, будівництва, експлуатації та обслуговування будівель і споруд об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val="en-US" w:bidi="ar-SA"/>
        </w:rPr>
        <w:t>'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val="uk-UA" w:bidi="ar-SA"/>
        </w:rPr>
        <w:t>єктів передачі електричної та теплової енергії (код КВЦПЗ-14.02) земельні ділянки:</w:t>
      </w:r>
    </w:p>
    <w:p>
      <w:pPr>
        <w:pStyle w:val="Normal"/>
        <w:widowControl/>
        <w:numPr>
          <w:ilvl w:val="0"/>
          <w:numId w:val="1"/>
        </w:numPr>
        <w:suppressAutoHyphens w:val="false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val="uk-UA" w:bidi="ar-SA"/>
        </w:rPr>
        <w:t>кадастровий номер 6321755300:03:014:0138, загальною площею 0,0107 га (з них землі, які використовуються для технічної інфраструктури - 0,0107 га), вид використання - для            розміщення опори №59 ПЛ 330 кВ Зміївська ТЕС- Белгород з відгалуженням на                     ПС 330 кВ “Лосєве”;</w:t>
      </w:r>
    </w:p>
    <w:p>
      <w:pPr>
        <w:pStyle w:val="Normal"/>
        <w:widowControl/>
        <w:numPr>
          <w:ilvl w:val="0"/>
          <w:numId w:val="1"/>
        </w:numPr>
        <w:suppressAutoHyphens w:val="false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val="uk-UA" w:bidi="ar-SA"/>
        </w:rPr>
        <w:t xml:space="preserve">кадастровий номер 6321755300:03:000:0638, загальною площею 0,0038 га (з них землі, які використовуються для технічної інфраструктури - 0,0038 га), вид використання - для              розміщення опори №62 ПЛ 330 кВ Зміївська ТЕС- Белгород з відгалуженням на                  ПС 330 кВ “Лосєве”; </w:t>
      </w:r>
    </w:p>
    <w:p>
      <w:pPr>
        <w:pStyle w:val="Normal"/>
        <w:widowControl/>
        <w:numPr>
          <w:ilvl w:val="0"/>
          <w:numId w:val="1"/>
        </w:numPr>
        <w:suppressAutoHyphens w:val="false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val="uk-UA" w:bidi="ar-SA"/>
        </w:rPr>
        <w:t xml:space="preserve">кадастровий номер 6321755300:03:000:0640, загальною площею 0,0038 га (з них землі, які використовуються для технічної інфраструктури - 0,0038 га), вид використання - для              розміщення опори №63 ПЛ 330 кВ Зміївська ТЕС- Белгород з відгалуженням на               ПС 330 кВ “Лосєве”; </w:t>
      </w:r>
    </w:p>
    <w:p>
      <w:pPr>
        <w:pStyle w:val="Normal"/>
        <w:widowControl/>
        <w:numPr>
          <w:ilvl w:val="0"/>
          <w:numId w:val="1"/>
        </w:numPr>
        <w:suppressAutoHyphens w:val="false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val="uk-UA" w:bidi="ar-SA"/>
        </w:rPr>
        <w:t xml:space="preserve">кадастровий номер 6321755300:03:000:0642, загальною площею 0,0038 га (з них землі, які використовуються для технічної інфраструктури - 0,0038 га), вид використання - для              розміщення опори №65 ПЛ 330 кВ Зміївська ТЕС- Белгород з відгалуженням на                  ПС 330 кВ “Лосєве”; </w:t>
      </w:r>
    </w:p>
    <w:p>
      <w:pPr>
        <w:pStyle w:val="Normal"/>
        <w:widowControl/>
        <w:numPr>
          <w:ilvl w:val="0"/>
          <w:numId w:val="1"/>
        </w:numPr>
        <w:suppressAutoHyphens w:val="false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val="uk-UA" w:bidi="ar-SA"/>
        </w:rPr>
        <w:t xml:space="preserve">кадастровий номер 6321755300:03:000:0641, загальною площею 0,0038 га (з них землі, які використовуються для технічної інфраструктури - 0,0038 га), вид використання - для               розміщення опори №68 ПЛ 330 кВ Зміївська ТЕС- Белгород з відгалуженням на                      ПС 330 кВ “Лосєве”; </w:t>
      </w:r>
    </w:p>
    <w:p>
      <w:pPr>
        <w:pStyle w:val="Normal"/>
        <w:widowControl/>
        <w:numPr>
          <w:ilvl w:val="0"/>
          <w:numId w:val="1"/>
        </w:numPr>
        <w:suppressAutoHyphens w:val="false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val="uk-UA" w:bidi="ar-SA"/>
        </w:rPr>
        <w:t xml:space="preserve">кадастровий номер 6321755300:03:000:0639, загальною площею 0,0038 га (з них землі, які використовуються для технічної інфраструктури - 0,0038 га), вид використання - для     розміщення опори №70 ПЛ 330 кВ Зміївська ТЕС- Белгород з відгалуженням на                ПС 330 кВ “Лосєве”; </w:t>
      </w:r>
    </w:p>
    <w:p>
      <w:pPr>
        <w:pStyle w:val="Normal"/>
        <w:widowControl/>
        <w:suppressAutoHyphens w:val="false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val="uk-UA" w:bidi="ar-SA"/>
        </w:rPr>
        <w:t>що розташовані за межами населених пунктів на території Зміївської міської ради.</w:t>
      </w:r>
    </w:p>
    <w:p>
      <w:pPr>
        <w:pStyle w:val="Normal"/>
        <w:widowControl/>
        <w:suppressAutoHyphens w:val="false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val="uk-UA" w:bidi="ar-SA"/>
        </w:rPr>
        <w:t xml:space="preserve"> 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val="uk-UA" w:bidi="ar-SA"/>
        </w:rPr>
        <w:t>3. На земельних ділянках, кадастровий номер 6321755300:03:014:0138, 6321755300:03:000:0638, 6321755300:03:000:0640, 6321755300:03:000:0642, 6321755300:03:000:0641, 6321755300:03:000:0639, що передаються в постійне користування, згідно порядку ведення Державного земельного кадастру, затвердженого постановою Кабінету Міністрів України від 17.10.2012 року №1051, зареєстровано обмеження, а саме: 06.01 - зона особливого режиму забудови, 01.05 - охоронна зона навколо (вздовж) об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val="en-US" w:bidi="ar-SA"/>
        </w:rPr>
        <w:t>'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val="uk-UA" w:bidi="ar-SA"/>
        </w:rPr>
        <w:t>єкта енергетичної                системи.</w:t>
      </w:r>
    </w:p>
    <w:p>
      <w:pPr>
        <w:pStyle w:val="Normal"/>
        <w:widowControl/>
        <w:tabs>
          <w:tab w:val="left" w:pos="736" w:leader="none"/>
        </w:tabs>
        <w:suppressAutoHyphens w:val="false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bidi="ar-SA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bidi="ar-SA"/>
        </w:rPr>
        <w:t xml:space="preserve">4. Рекомендувати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val="uk-UA" w:bidi="ar-SA"/>
        </w:rPr>
        <w:t>ПАТ “НЕК “Укренерго”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bidi="ar-SA"/>
        </w:rPr>
        <w:t xml:space="preserve"> зареєструвати право власності на земельні                ділянки в Державному реєстрі прав на нерухоме майно. Використовувати земельні ділянки за    цільовим призначенням згідно вимог Земельного кодексу України, своєчасно сплачувати земельний податок.</w:t>
      </w:r>
    </w:p>
    <w:p>
      <w:pPr>
        <w:pStyle w:val="Normal"/>
        <w:widowControl/>
        <w:suppressAutoHyphens w:val="false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bidi="ar-SA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bidi="ar-SA"/>
        </w:rPr>
        <w:t>5. Копію даного рішення направити в ГУ ДПС у Харківській області.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160"/>
        <w:ind w:left="0" w:right="0" w:firstLine="737"/>
        <w:jc w:val="both"/>
        <w:rPr>
          <w:sz w:val="24"/>
          <w:szCs w:val="24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eastAsia="uk-UA" w:bidi="ar-SA"/>
        </w:rPr>
        <w:t xml:space="preserve">6. Контроль за виконанням рішення покласти на постійну комісію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de-DE" w:eastAsia="uk-UA" w:bidi="ar-SA"/>
        </w:rPr>
        <w:t>з питань містобудування, будівництва, розвитку інфраструктури, земельних відносин, природокористування та аграрної політики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eastAsia="uk-UA" w:bidi="ar-SA"/>
        </w:rPr>
        <w:t xml:space="preserve"> Зміївської міської ради (Андрій РЕВЕНКО).</w:t>
      </w:r>
    </w:p>
    <w:p>
      <w:pPr>
        <w:pStyle w:val="Normal"/>
        <w:shd w:val="clear" w:fill="FFFFFF"/>
        <w:suppressAutoHyphens w:val="false"/>
        <w:spacing w:lineRule="auto" w:line="240"/>
        <w:ind w:left="0" w:right="0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uk-UA" w:eastAsia="ru-RU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ru-RU"/>
        </w:rPr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uk-UA" w:eastAsia="ru-RU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ru-RU"/>
        </w:rPr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uk-UA" w:eastAsia="ru-RU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ru-RU"/>
        </w:rPr>
      </w:r>
    </w:p>
    <w:p>
      <w:pPr>
        <w:pStyle w:val="Normal"/>
        <w:shd w:val="clear" w:fill="FFFFFF"/>
        <w:tabs>
          <w:tab w:val="left" w:pos="15" w:leader="none"/>
        </w:tabs>
        <w:spacing w:lineRule="auto" w:line="360" w:before="0" w:after="160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Міський голова                                    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uk-UA"/>
        </w:rPr>
        <w:t xml:space="preserve">   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                                       Павло ГОЛОДНІКОВ</w:t>
      </w:r>
    </w:p>
    <w:sectPr>
      <w:type w:val="nextPage"/>
      <w:pgSz w:w="12240" w:h="15840"/>
      <w:pgMar w:left="1701" w:right="567" w:header="0" w:top="426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/>
      <w:color w:val="00000A"/>
      <w:sz w:val="22"/>
      <w:szCs w:val="22"/>
      <w:lang w:val="en-US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6">
    <w:name w:val="Основной текст Знак"/>
    <w:qFormat/>
    <w:rPr>
      <w:rFonts w:ascii="Times New Roman" w:hAnsi="Times New Roman" w:eastAsia="Times New Roman" w:cs="Times New Roman"/>
      <w:sz w:val="28"/>
      <w:szCs w:val="24"/>
      <w:lang w:val="uk-UA"/>
    </w:rPr>
  </w:style>
  <w:style w:type="character" w:styleId="Docdata">
    <w:name w:val="docdata"/>
    <w:basedOn w:val="Style14"/>
    <w:qFormat/>
    <w:rPr/>
  </w:style>
  <w:style w:type="character" w:styleId="1">
    <w:name w:val="Основной шрифт абзаца1"/>
    <w:qFormat/>
    <w:rPr/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4"/>
      <w:lang w:val="uk-UA"/>
    </w:rPr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FreeSans"/>
    </w:rPr>
  </w:style>
  <w:style w:type="paragraph" w:styleId="Style22">
    <w:name w:val="Абзац списка"/>
    <w:basedOn w:val="Normal"/>
    <w:qFormat/>
    <w:pPr>
      <w:spacing w:before="0" w:after="160"/>
      <w:ind w:left="720" w:hanging="0"/>
      <w:contextualSpacing/>
    </w:pPr>
    <w:rPr/>
  </w:style>
  <w:style w:type="paragraph" w:styleId="Style23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LibreOffice/5.1.6.2$Linux_X86_64 LibreOffice_project/10m0$Build-2</Application>
  <Pages>3</Pages>
  <Words>980</Words>
  <Characters>6633</Characters>
  <CharactersWithSpaces>8107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2023-02-06T15:27:00Z</dcterms:created>
  <dc:creator>USER</dc:creator>
  <dc:description/>
  <dc:language>uk-UA</dc:language>
  <cp:lastModifiedBy/>
  <cp:lastPrinted>2023-03-09T13:35:42Z</cp:lastPrinted>
  <dcterms:modified xsi:type="dcterms:W3CDTF">2023-03-16T09:51:52Z</dcterms:modified>
  <cp:revision>21</cp:revision>
  <dc:subject/>
  <dc:title/>
</cp:coreProperties>
</file>