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3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3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№5458-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tabs>
          <w:tab w:val="left" w:pos="4596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Про внесення змін до Цільової програми «Обдаровані діти» Зміївської міської територіальної громади на 2026-2030 роки», затвердженої рішенням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X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СІ сесії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VIII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скликання від 18 грудня 2025 року № 5084-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X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С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-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VIII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ind w:left="0" w:right="0" w:firstLine="540"/>
        <w:jc w:val="both"/>
        <w:rPr/>
      </w:pPr>
      <w:r>
        <w:rPr>
          <w:bCs/>
          <w:iCs/>
          <w:sz w:val="24"/>
          <w:szCs w:val="24"/>
          <w:lang w:val="uk-UA"/>
        </w:rPr>
        <w:t xml:space="preserve">З метою забезпечення стабільного розвитку системи освіти громади, відповідно до вимог суспільства стосовно особистого розвитку дітей  та відповідно до пункту 22 статті 26 Закону України «Про місцеве самоврядування в Україні», розглянувши лист начальника відділу освіти Зміївської міської ради Інесси СОЛЯНИК від 01 липня 2026 року №01-30/790, враховуючи </w:t>
      </w:r>
      <w:r>
        <w:rPr>
          <w:bCs/>
          <w:sz w:val="24"/>
          <w:szCs w:val="24"/>
          <w:shd w:fill="FFFFFF" w:val="clear"/>
          <w:lang w:val="uk-UA"/>
        </w:rPr>
        <w:t xml:space="preserve">рішення постійних комісій </w:t>
      </w:r>
      <w:r>
        <w:rPr>
          <w:sz w:val="24"/>
          <w:szCs w:val="24"/>
          <w:shd w:fill="FFFFFF" w:val="clear"/>
          <w:lang w:val="uk-UA"/>
        </w:rPr>
        <w:t xml:space="preserve">міської ради </w:t>
      </w:r>
      <w:r>
        <w:rPr>
          <w:color w:val="000000"/>
          <w:sz w:val="24"/>
          <w:szCs w:val="24"/>
          <w:shd w:fill="FFFFFF" w:val="clear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fill="FFFFFF" w:val="clear"/>
          <w:lang w:val="uk-UA"/>
        </w:rPr>
        <w:t xml:space="preserve"> (витяг з протоколу № 106 засідання постійної комісії від 03 липня 2026 року) та з</w:t>
      </w:r>
      <w:r>
        <w:rPr>
          <w:color w:val="000000"/>
          <w:sz w:val="24"/>
          <w:szCs w:val="24"/>
          <w:shd w:fill="FFFFFF" w:val="clear"/>
          <w:lang w:val="uk-UA"/>
        </w:rPr>
        <w:t xml:space="preserve">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</w:t>
      </w:r>
      <w:r>
        <w:rPr>
          <w:sz w:val="24"/>
          <w:szCs w:val="24"/>
          <w:shd w:fill="FFFFFF" w:val="clear"/>
          <w:lang w:val="uk-UA"/>
        </w:rPr>
        <w:t xml:space="preserve"> (витяг з протоколу № 98 засідання постійної комісії від 02 липня 2026 року)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міська рада</w:t>
      </w:r>
    </w:p>
    <w:p>
      <w:pPr>
        <w:pStyle w:val="Normal"/>
        <w:ind w:left="180" w:right="0" w:hanging="0"/>
        <w:jc w:val="center"/>
        <w:rPr>
          <w:b/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left"/>
        <w:rPr/>
      </w:pPr>
      <w:r>
        <w:rPr>
          <w:b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left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b w:val="false"/>
          <w:bCs w:val="false"/>
          <w:sz w:val="24"/>
          <w:szCs w:val="24"/>
          <w:shd w:fill="FFFFFF" w:val="clear"/>
          <w:lang w:val="uk-UA"/>
        </w:rPr>
        <w:t xml:space="preserve">1. </w:t>
      </w:r>
      <w:r>
        <w:rPr>
          <w:sz w:val="24"/>
          <w:szCs w:val="24"/>
          <w:shd w:fill="FFFFFF" w:val="clear"/>
          <w:lang w:val="uk-UA"/>
        </w:rPr>
        <w:t xml:space="preserve">Внести зміни </w:t>
      </w:r>
      <w:r>
        <w:rPr>
          <w:sz w:val="24"/>
          <w:szCs w:val="24"/>
          <w:lang w:val="uk-UA"/>
        </w:rPr>
        <w:t xml:space="preserve">до Цільової програми «Обдаровані діти» Зміївської міської територіальної громади на 2026-2030 роки», затвердженої рішенням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uk-UA"/>
        </w:rPr>
        <w:t xml:space="preserve">СІ сесії міської ради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скликання від 18 грудня 2025 року № 5084-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VIII</w:t>
      </w:r>
      <w:r>
        <w:rPr>
          <w:b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виклавши пункти 3,6,7 та 8 в новій редакції:</w:t>
      </w:r>
    </w:p>
    <w:p>
      <w:pPr>
        <w:pStyle w:val="Normal"/>
        <w:tabs>
          <w:tab w:val="left" w:pos="900" w:leader="none"/>
          <w:tab w:val="left" w:pos="3544" w:leader="none"/>
        </w:tabs>
        <w:ind w:left="567" w:right="0" w:hanging="0"/>
        <w:jc w:val="both"/>
        <w:rPr>
          <w:lang w:val="uk-UA"/>
        </w:rPr>
      </w:pPr>
      <w:r>
        <w:rPr>
          <w:lang w:val="uk-UA"/>
        </w:rPr>
      </w:r>
    </w:p>
    <w:tbl>
      <w:tblPr>
        <w:tblW w:w="9863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483"/>
        <w:gridCol w:w="1723"/>
        <w:gridCol w:w="1608"/>
        <w:gridCol w:w="1174"/>
        <w:gridCol w:w="1649"/>
        <w:gridCol w:w="1701"/>
        <w:gridCol w:w="1524"/>
      </w:tblGrid>
      <w:tr>
        <w:trPr/>
        <w:tc>
          <w:tcPr>
            <w:tcW w:w="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/>
              </w:rPr>
              <w:t xml:space="preserve">№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Об’єкти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Термін виконання</w:t>
            </w:r>
          </w:p>
        </w:tc>
        <w:tc>
          <w:tcPr>
            <w:tcW w:w="1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Орієнтовні обсяги фінансування (місцевий бюджет), тис.грн.</w:t>
            </w:r>
          </w:p>
        </w:tc>
        <w:tc>
          <w:tcPr>
            <w:tcW w:w="1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>
        <w:trPr>
          <w:trHeight w:val="683" w:hRule="atLeast"/>
        </w:trPr>
        <w:tc>
          <w:tcPr>
            <w:tcW w:w="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 xml:space="preserve">Забезпечення адресної підтримки обдарованих і талановитих дітей, зокрема шляхом виплати стипендій переможцям ІІІ та </w:t>
            </w:r>
            <w:r>
              <w:rPr>
                <w:rFonts w:cs="Arial"/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rFonts w:cs="Arial"/>
                <w:color w:val="000000"/>
                <w:sz w:val="22"/>
                <w:szCs w:val="22"/>
                <w:lang w:val="uk-UA"/>
              </w:rPr>
              <w:t xml:space="preserve"> етапу Всеукраїнських учнівських олімпіад з навчальних предметів</w:t>
            </w:r>
          </w:p>
        </w:tc>
        <w:tc>
          <w:tcPr>
            <w:tcW w:w="1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Заклади загальної середньої освіти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Відділ освіти Зміївської міської ради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78,300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Підтримка обдарованих і талановитих дітей</w:t>
            </w:r>
          </w:p>
        </w:tc>
      </w:tr>
      <w:tr>
        <w:trPr>
          <w:trHeight w:val="683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2027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117,800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124,600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2029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124,600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683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2030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124,600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46" w:hRule="atLeast"/>
        </w:trPr>
        <w:tc>
          <w:tcPr>
            <w:tcW w:w="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 xml:space="preserve">Забезпечення адресної підтримки обдарованих і талановитих дітей, зокрема шляхом виплати стипендій переможцям </w:t>
            </w:r>
            <w:r>
              <w:rPr>
                <w:rStyle w:val="FontStyle17"/>
                <w:sz w:val="22"/>
                <w:szCs w:val="22"/>
                <w:lang w:val="uk-UA"/>
              </w:rPr>
              <w:t>спортивних змагань з олімпійських і неолімпійських видів спорту обласного, Всеукраїнського рівня (етапу) та чемпіонатах Європи, світу</w:t>
            </w:r>
          </w:p>
        </w:tc>
        <w:tc>
          <w:tcPr>
            <w:tcW w:w="1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Заклади загальної середньої освіти, КЗ «Зміївський ЦДЮТ</w:t>
            </w:r>
            <w:r>
              <w:rPr>
                <w:rFonts w:cs="Arial"/>
                <w:sz w:val="22"/>
                <w:szCs w:val="22"/>
                <w:lang w:val="uk-UA"/>
              </w:rPr>
              <w:t xml:space="preserve">», КЗ  «Зміївська ДЮСШ», КП ЦФЗН «Спорт для всіх» 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Відділ освіти Зміївської міської ради, Відділ культури, молоді, спорту та туризму Зміївської міської ради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69,900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Підтримка обдарованих і талановитих дітей</w:t>
            </w:r>
          </w:p>
        </w:tc>
      </w:tr>
      <w:tr>
        <w:trPr>
          <w:trHeight w:val="1046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2027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80,000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46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95,000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46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2029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95,000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46" w:hRule="atLeas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2030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95,000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907" w:hRule="exact"/>
        </w:trPr>
        <w:tc>
          <w:tcPr>
            <w:tcW w:w="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 xml:space="preserve">Забезпечення адресної підтримки обдарованих і талановитих дітей, зокрема шляхом виплати стипендій переможцям </w:t>
            </w:r>
            <w:r>
              <w:rPr>
                <w:rStyle w:val="FontStyle17"/>
                <w:sz w:val="22"/>
                <w:szCs w:val="22"/>
                <w:lang w:val="uk-UA"/>
              </w:rPr>
              <w:t>різноманітних конкурсів, турнірів, фестивалів тощо,</w:t>
            </w:r>
            <w:r>
              <w:rPr>
                <w:rStyle w:val="FontStyle16"/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17"/>
                <w:sz w:val="22"/>
                <w:szCs w:val="22"/>
                <w:lang w:val="uk-UA"/>
              </w:rPr>
              <w:t>обласного, Всеукраїнського рівня (етапу)</w:t>
            </w:r>
          </w:p>
        </w:tc>
        <w:tc>
          <w:tcPr>
            <w:tcW w:w="1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Заклади загальної середньої та позашкільної освіти, які підпорядковані відділу освіти та заклади, що підпорядковані відділу культури, молоді, спорту та туризму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Відділ освіти Зміївської міської ради, Відділ культури, молоді, спорту та туризму Зміївської міської ради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112,500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Підтримка обдарованих і талановитих дітей</w:t>
            </w:r>
          </w:p>
        </w:tc>
      </w:tr>
      <w:tr>
        <w:trPr>
          <w:trHeight w:val="90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2027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124,200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90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132,100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90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2029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132,100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972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2030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132,100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77" w:hRule="exact"/>
        </w:trPr>
        <w:tc>
          <w:tcPr>
            <w:tcW w:w="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7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 xml:space="preserve">Забезпечення адресної підтримки обдарованих і талановитих дітей, зокрема шляхом виплати стипендій переможцям, яким присвоєно звання: «кандидат у майстри спорту», «майстер спорту», «майстер спорту міжнародного класу» </w:t>
            </w:r>
          </w:p>
        </w:tc>
        <w:tc>
          <w:tcPr>
            <w:tcW w:w="16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  <w:lang w:val="uk-UA"/>
              </w:rPr>
            </w:pPr>
            <w:r>
              <w:rPr>
                <w:rFonts w:cs="Arial"/>
                <w:sz w:val="22"/>
                <w:szCs w:val="22"/>
                <w:lang w:val="uk-UA"/>
              </w:rPr>
              <w:t>КЗ  «Зміївська ДЮСШ», КП ЦФЗН «Спорт для всіх»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2026</w:t>
            </w:r>
          </w:p>
        </w:tc>
        <w:tc>
          <w:tcPr>
            <w:tcW w:w="1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Відділ освіти Зміївської міської ради, Відділ культури, молоді, спорту та туризму Зміївської міської ради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6,000</w:t>
            </w:r>
          </w:p>
        </w:tc>
        <w:tc>
          <w:tcPr>
            <w:tcW w:w="1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Підтримка обдарованих і талановитих дітей</w:t>
            </w:r>
          </w:p>
        </w:tc>
      </w:tr>
      <w:tr>
        <w:trPr>
          <w:trHeight w:val="107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2027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30,000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7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ab/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2028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30,000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07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2029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30,000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  <w:tr>
        <w:trPr>
          <w:trHeight w:val="1257" w:hRule="exact"/>
        </w:trPr>
        <w:tc>
          <w:tcPr>
            <w:tcW w:w="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2030</w:t>
            </w:r>
          </w:p>
        </w:tc>
        <w:tc>
          <w:tcPr>
            <w:tcW w:w="16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  <w:t>30,000</w:t>
            </w:r>
          </w:p>
        </w:tc>
        <w:tc>
          <w:tcPr>
            <w:tcW w:w="152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jc w:val="both"/>
              <w:rPr>
                <w:rFonts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cs="Arial"/>
                <w:color w:val="000000"/>
                <w:sz w:val="22"/>
                <w:szCs w:val="22"/>
                <w:lang w:val="uk-UA"/>
              </w:rPr>
            </w:r>
          </w:p>
        </w:tc>
      </w:tr>
    </w:tbl>
    <w:p>
      <w:pPr>
        <w:pStyle w:val="Normal"/>
        <w:numPr>
          <w:ilvl w:val="0"/>
          <w:numId w:val="2"/>
        </w:numPr>
        <w:tabs>
          <w:tab w:val="left" w:pos="900" w:leader="none"/>
          <w:tab w:val="left" w:pos="3544" w:leader="none"/>
        </w:tabs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 xml:space="preserve">2.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Контроль за виконанням рішення покласти на постійні комісії міської ради з питань планування, фінансів, бюджету, соціально-економічного розвитку та регуляторної політики (Костянтин РУДЕНКО)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Application>LibreOffice/5.1.6.2$Linux_X86_64 LibreOffice_project/10m0$Build-2</Application>
  <Pages>3</Pages>
  <Words>521</Words>
  <Characters>3451</Characters>
  <CharactersWithSpaces>4067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2026-07-13T09:27:46Z</cp:lastPrinted>
  <dcterms:modified xsi:type="dcterms:W3CDTF">2026-07-13T09:28:47Z</dcterms:modified>
  <cp:revision>602</cp:revision>
  <dc:subject/>
  <dc:title/>
</cp:coreProperties>
</file>